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2A919" w14:textId="77777777" w:rsidR="00AC5735" w:rsidRPr="007D4B7B" w:rsidRDefault="00AC5735" w:rsidP="00360119">
      <w:pPr>
        <w:pStyle w:val="loi-cadre"/>
        <w:jc w:val="left"/>
        <w:rPr>
          <w:rFonts w:cs="Arial"/>
          <w:sz w:val="20"/>
          <w:lang w:val="en-GB"/>
        </w:rPr>
      </w:pPr>
    </w:p>
    <w:p w14:paraId="4F59553F" w14:textId="20C56A55" w:rsidR="00894AB0" w:rsidRPr="007D4B7B" w:rsidRDefault="00A907ED" w:rsidP="00894AB0">
      <w:pPr>
        <w:pStyle w:val="loi-cadre"/>
        <w:rPr>
          <w:rFonts w:asciiTheme="minorHAnsi" w:hAnsiTheme="minorHAnsi" w:cstheme="minorHAnsi"/>
          <w:sz w:val="32"/>
          <w:szCs w:val="32"/>
          <w:lang w:val="en-GB"/>
        </w:rPr>
      </w:pPr>
      <w:r w:rsidRPr="007D4B7B">
        <w:rPr>
          <w:rFonts w:asciiTheme="minorHAnsi" w:hAnsiTheme="minorHAnsi" w:cstheme="minorHAnsi"/>
          <w:sz w:val="32"/>
          <w:szCs w:val="32"/>
          <w:lang w:val="en-GB"/>
        </w:rPr>
        <w:t xml:space="preserve">Detailed </w:t>
      </w:r>
      <w:r w:rsidR="00A1759A" w:rsidRPr="007D4B7B">
        <w:rPr>
          <w:rFonts w:asciiTheme="minorHAnsi" w:hAnsiTheme="minorHAnsi" w:cstheme="minorHAnsi"/>
          <w:sz w:val="32"/>
          <w:szCs w:val="32"/>
          <w:lang w:val="en-GB"/>
        </w:rPr>
        <w:t xml:space="preserve">project </w:t>
      </w:r>
      <w:r w:rsidRPr="007D4B7B">
        <w:rPr>
          <w:rFonts w:asciiTheme="minorHAnsi" w:hAnsiTheme="minorHAnsi" w:cstheme="minorHAnsi"/>
          <w:sz w:val="32"/>
          <w:szCs w:val="32"/>
          <w:lang w:val="en-GB"/>
        </w:rPr>
        <w:t xml:space="preserve">description </w:t>
      </w:r>
    </w:p>
    <w:p w14:paraId="312844C1" w14:textId="77777777" w:rsidR="00894AB0" w:rsidRPr="007D4B7B" w:rsidRDefault="00894AB0" w:rsidP="00894AB0">
      <w:pPr>
        <w:pStyle w:val="loi-cadre"/>
        <w:rPr>
          <w:rFonts w:asciiTheme="minorHAnsi" w:hAnsiTheme="minorHAnsi" w:cstheme="minorHAnsi"/>
          <w:lang w:val="en-GB"/>
        </w:rPr>
      </w:pPr>
    </w:p>
    <w:p w14:paraId="0C3DEFF8" w14:textId="3AE677F9" w:rsidR="00B33CCC" w:rsidRPr="007D4B7B" w:rsidRDefault="00B33CCC" w:rsidP="00B33CCC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en-GB"/>
        </w:rPr>
      </w:pPr>
      <w:r w:rsidRPr="007D4B7B">
        <w:rPr>
          <w:rFonts w:asciiTheme="minorHAnsi" w:hAnsiTheme="minorHAnsi" w:cstheme="minorHAnsi"/>
          <w:lang w:val="en-GB"/>
        </w:rPr>
        <w:t xml:space="preserve">This document is to be completed and submitted as an attachment when completing the investment aid application on MyGuichet.lu. </w:t>
      </w:r>
    </w:p>
    <w:p w14:paraId="71903065" w14:textId="02560942" w:rsidR="0053384E" w:rsidRDefault="0053384E" w:rsidP="00CF60AE">
      <w:pPr>
        <w:spacing w:after="0"/>
        <w:jc w:val="center"/>
        <w:rPr>
          <w:b/>
          <w:sz w:val="32"/>
          <w:szCs w:val="32"/>
          <w:lang w:val="en-GB"/>
        </w:rPr>
      </w:pPr>
      <w:proofErr w:type="spellStart"/>
      <w:r w:rsidRPr="0053384E">
        <w:rPr>
          <w:b/>
          <w:sz w:val="32"/>
          <w:szCs w:val="32"/>
        </w:rPr>
        <w:t>Investment</w:t>
      </w:r>
      <w:proofErr w:type="spellEnd"/>
      <w:r w:rsidR="00E82C3B">
        <w:rPr>
          <w:b/>
          <w:sz w:val="32"/>
          <w:szCs w:val="32"/>
        </w:rPr>
        <w:t xml:space="preserve"> Project in </w:t>
      </w:r>
      <w:proofErr w:type="spellStart"/>
      <w:r w:rsidRPr="0053384E">
        <w:rPr>
          <w:b/>
          <w:sz w:val="32"/>
          <w:szCs w:val="32"/>
        </w:rPr>
        <w:t>Environment</w:t>
      </w:r>
      <w:r w:rsidR="00E82C3B">
        <w:rPr>
          <w:b/>
          <w:sz w:val="32"/>
          <w:szCs w:val="32"/>
        </w:rPr>
        <w:t>al</w:t>
      </w:r>
      <w:proofErr w:type="spellEnd"/>
      <w:r w:rsidR="00E82C3B">
        <w:rPr>
          <w:b/>
          <w:sz w:val="32"/>
          <w:szCs w:val="32"/>
        </w:rPr>
        <w:t xml:space="preserve"> Protection</w:t>
      </w:r>
    </w:p>
    <w:p w14:paraId="1AC537E8" w14:textId="77777777" w:rsidR="0053384E" w:rsidRDefault="0053384E" w:rsidP="009B0712">
      <w:pPr>
        <w:spacing w:after="0"/>
        <w:rPr>
          <w:b/>
          <w:sz w:val="32"/>
          <w:szCs w:val="32"/>
          <w:lang w:val="en-GB"/>
        </w:rPr>
      </w:pPr>
    </w:p>
    <w:p w14:paraId="3300A46A" w14:textId="75833409" w:rsidR="009B0712" w:rsidRPr="007D4B7B" w:rsidRDefault="00794CAC" w:rsidP="009B0712">
      <w:pPr>
        <w:spacing w:after="0"/>
        <w:rPr>
          <w:rFonts w:cs="Arial"/>
          <w:sz w:val="20"/>
          <w:szCs w:val="20"/>
          <w:lang w:val="en-GB"/>
        </w:rPr>
      </w:pPr>
      <w:r w:rsidRPr="007D4B7B">
        <w:rPr>
          <w:rFonts w:cs="Arial"/>
          <w:b/>
          <w:sz w:val="20"/>
          <w:szCs w:val="20"/>
          <w:lang w:val="en-GB"/>
        </w:rPr>
        <w:t xml:space="preserve">Legal basis: </w:t>
      </w:r>
      <w:r w:rsidR="0053384E" w:rsidRPr="0053384E">
        <w:rPr>
          <w:rFonts w:asciiTheme="minorHAnsi" w:hAnsiTheme="minorHAnsi" w:cstheme="minorHAnsi"/>
          <w:sz w:val="20"/>
          <w:szCs w:val="20"/>
          <w:lang w:val="en-US"/>
        </w:rPr>
        <w:t xml:space="preserve">Art. 4,5,6,8,9,10,11,12,13,14 </w:t>
      </w:r>
      <w:r w:rsidRPr="007D4B7B">
        <w:rPr>
          <w:rFonts w:cs="Arial"/>
          <w:sz w:val="20"/>
          <w:szCs w:val="20"/>
          <w:lang w:val="en-GB"/>
        </w:rPr>
        <w:t xml:space="preserve"> of the law introduced on </w:t>
      </w:r>
      <w:r w:rsidR="0053384E">
        <w:rPr>
          <w:rFonts w:cs="Arial"/>
          <w:sz w:val="20"/>
          <w:szCs w:val="20"/>
          <w:lang w:val="en-GB"/>
        </w:rPr>
        <w:t>15</w:t>
      </w:r>
      <w:r w:rsidR="007D4B7B" w:rsidRPr="007D4B7B">
        <w:rPr>
          <w:rFonts w:cs="Arial"/>
          <w:sz w:val="20"/>
          <w:szCs w:val="20"/>
          <w:vertAlign w:val="superscript"/>
          <w:lang w:val="en-GB"/>
        </w:rPr>
        <w:t xml:space="preserve">th </w:t>
      </w:r>
      <w:r w:rsidR="007D4B7B" w:rsidRPr="007D4B7B">
        <w:rPr>
          <w:rFonts w:cs="Arial"/>
          <w:sz w:val="20"/>
          <w:szCs w:val="20"/>
          <w:lang w:val="en-GB"/>
        </w:rPr>
        <w:t xml:space="preserve"> of </w:t>
      </w:r>
      <w:r w:rsidR="0053384E">
        <w:rPr>
          <w:rFonts w:cs="Arial"/>
          <w:sz w:val="20"/>
          <w:szCs w:val="20"/>
          <w:lang w:val="en-GB"/>
        </w:rPr>
        <w:t>December</w:t>
      </w:r>
      <w:r w:rsidRPr="007D4B7B">
        <w:rPr>
          <w:rFonts w:cs="Arial"/>
          <w:sz w:val="20"/>
          <w:szCs w:val="20"/>
          <w:lang w:val="en-GB"/>
        </w:rPr>
        <w:t xml:space="preserve"> </w:t>
      </w:r>
      <w:r w:rsidR="0053384E">
        <w:rPr>
          <w:rFonts w:cs="Arial"/>
          <w:sz w:val="20"/>
          <w:szCs w:val="20"/>
          <w:lang w:val="en-GB"/>
        </w:rPr>
        <w:t>2017</w:t>
      </w:r>
      <w:r w:rsidR="00DC6075">
        <w:rPr>
          <w:rFonts w:cs="Arial"/>
          <w:sz w:val="20"/>
          <w:szCs w:val="20"/>
          <w:lang w:val="en-GB"/>
        </w:rPr>
        <w:t xml:space="preserve"> relative to the protection of the environment</w:t>
      </w:r>
    </w:p>
    <w:p w14:paraId="749081CA" w14:textId="77777777" w:rsidR="00EC54ED" w:rsidRPr="007D4B7B" w:rsidRDefault="00EC54ED" w:rsidP="009B0712">
      <w:pPr>
        <w:spacing w:after="0"/>
        <w:rPr>
          <w:rFonts w:cs="Arial"/>
          <w:sz w:val="20"/>
          <w:szCs w:val="20"/>
          <w:lang w:val="en-GB"/>
        </w:rPr>
      </w:pPr>
    </w:p>
    <w:p w14:paraId="69284A56" w14:textId="7B3D6770" w:rsidR="00A907ED" w:rsidRPr="007D4B7B" w:rsidRDefault="00630456" w:rsidP="00CF54D4">
      <w:pPr>
        <w:spacing w:after="0" w:line="480" w:lineRule="auto"/>
        <w:rPr>
          <w:rFonts w:cs="Arial"/>
          <w:b/>
          <w:lang w:val="en-GB"/>
        </w:rPr>
      </w:pPr>
      <w:r w:rsidRPr="007D4B7B">
        <w:rPr>
          <w:rFonts w:cs="Arial"/>
          <w:b/>
          <w:lang w:val="en-GB"/>
        </w:rPr>
        <w:t xml:space="preserve">Company </w:t>
      </w:r>
      <w:r w:rsidR="00CF54D4" w:rsidRPr="007D4B7B">
        <w:rPr>
          <w:rFonts w:cs="Arial"/>
          <w:b/>
          <w:lang w:val="en-GB"/>
        </w:rPr>
        <w:t xml:space="preserve">name: </w:t>
      </w:r>
    </w:p>
    <w:p w14:paraId="22ADF9A0" w14:textId="3DFC0980" w:rsidR="00CF54D4" w:rsidRPr="007D4B7B" w:rsidRDefault="00CF54D4" w:rsidP="00CF54D4">
      <w:pPr>
        <w:spacing w:after="0" w:line="480" w:lineRule="auto"/>
        <w:rPr>
          <w:rFonts w:cs="Arial"/>
          <w:b/>
          <w:lang w:val="en-GB"/>
        </w:rPr>
      </w:pPr>
      <w:r w:rsidRPr="007D4B7B">
        <w:rPr>
          <w:rFonts w:cs="Arial"/>
          <w:b/>
          <w:lang w:val="en-GB"/>
        </w:rPr>
        <w:t xml:space="preserve">Project name: </w:t>
      </w:r>
    </w:p>
    <w:p w14:paraId="0054FF77" w14:textId="77777777" w:rsidR="008848E9" w:rsidRPr="007D4B7B" w:rsidRDefault="008848E9" w:rsidP="00B63C00">
      <w:pPr>
        <w:spacing w:after="0"/>
        <w:rPr>
          <w:lang w:val="en-GB"/>
        </w:rPr>
      </w:pPr>
    </w:p>
    <w:p w14:paraId="58261A1D" w14:textId="00023862" w:rsidR="009417BF" w:rsidRPr="007D4B7B" w:rsidRDefault="00CF54D4" w:rsidP="00CF54D4">
      <w:pPr>
        <w:pStyle w:val="Heading1"/>
        <w:rPr>
          <w:lang w:val="en-GB"/>
        </w:rPr>
      </w:pPr>
      <w:r w:rsidRPr="007D4B7B">
        <w:rPr>
          <w:lang w:val="en-GB"/>
        </w:rPr>
        <w:t xml:space="preserve"> Type of investment</w:t>
      </w:r>
    </w:p>
    <w:p w14:paraId="22FF269F" w14:textId="3D938808" w:rsidR="00CF60AE" w:rsidRPr="00CF60AE" w:rsidRDefault="00CF60AE" w:rsidP="00CF60AE">
      <w:pPr>
        <w:spacing w:after="0"/>
        <w:ind w:left="709"/>
        <w:rPr>
          <w:rFonts w:asciiTheme="minorHAnsi" w:hAnsiTheme="minorHAnsi" w:cstheme="minorHAnsi"/>
          <w:lang w:val="en-US"/>
        </w:rPr>
      </w:pPr>
      <w:r w:rsidRPr="00CF60AE">
        <w:rPr>
          <w:rFonts w:asciiTheme="minorHAnsi" w:hAnsiTheme="minorHAnsi" w:cstheme="minorHAnsi"/>
          <w:lang w:val="en-US"/>
        </w:rPr>
        <w:t xml:space="preserve">Indicate the </w:t>
      </w:r>
      <w:r>
        <w:rPr>
          <w:rFonts w:asciiTheme="minorHAnsi" w:hAnsiTheme="minorHAnsi" w:cstheme="minorHAnsi"/>
          <w:lang w:val="en-US"/>
        </w:rPr>
        <w:t>planned</w:t>
      </w:r>
      <w:r w:rsidRPr="00CF60AE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measure of</w:t>
      </w:r>
      <w:r w:rsidRPr="00CF60AE">
        <w:rPr>
          <w:rFonts w:asciiTheme="minorHAnsi" w:hAnsiTheme="minorHAnsi" w:cstheme="minorHAnsi"/>
          <w:lang w:val="en-US"/>
        </w:rPr>
        <w:t xml:space="preserve"> the project (tick the respective box)</w:t>
      </w:r>
    </w:p>
    <w:tbl>
      <w:tblPr>
        <w:tblStyle w:val="TableGrid"/>
        <w:tblW w:w="9127" w:type="dxa"/>
        <w:tblInd w:w="709" w:type="dxa"/>
        <w:tblLook w:val="04A0" w:firstRow="1" w:lastRow="0" w:firstColumn="1" w:lastColumn="0" w:noHBand="0" w:noVBand="1"/>
      </w:tblPr>
      <w:tblGrid>
        <w:gridCol w:w="704"/>
        <w:gridCol w:w="8423"/>
      </w:tblGrid>
      <w:tr w:rsidR="00CF60AE" w:rsidRPr="000D4C4B" w14:paraId="6BE41EAD" w14:textId="77777777" w:rsidTr="00D622F7">
        <w:tc>
          <w:tcPr>
            <w:tcW w:w="704" w:type="dxa"/>
          </w:tcPr>
          <w:p w14:paraId="31795AC9" w14:textId="77777777" w:rsidR="00CF60AE" w:rsidRPr="00CF60AE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179C8D44" w14:textId="56D7FBCE" w:rsidR="00CF60AE" w:rsidRPr="00DF4F18" w:rsidRDefault="00DF4F18" w:rsidP="00DF4F18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4 Investment aid enabling undertakings to go beyond the</w:t>
            </w:r>
            <w:r>
              <w:rPr>
                <w:rFonts w:asciiTheme="minorHAnsi" w:hAnsiTheme="minorHAnsi"/>
                <w:szCs w:val="18"/>
                <w:lang w:val="en-US"/>
              </w:rPr>
              <w:t xml:space="preserve"> European</w:t>
            </w:r>
            <w:r w:rsidRPr="00DF4F18">
              <w:rPr>
                <w:rFonts w:asciiTheme="minorHAnsi" w:hAnsiTheme="minorHAnsi"/>
                <w:szCs w:val="18"/>
                <w:lang w:val="en-US"/>
              </w:rPr>
              <w:t xml:space="preserve"> Union's environmental protection standards or to increase the level of environmental protection in the absence of such standards;</w:t>
            </w:r>
          </w:p>
        </w:tc>
      </w:tr>
      <w:tr w:rsidR="00CF60AE" w:rsidRPr="000D4C4B" w14:paraId="1F53C14C" w14:textId="77777777" w:rsidTr="00D622F7">
        <w:tc>
          <w:tcPr>
            <w:tcW w:w="704" w:type="dxa"/>
          </w:tcPr>
          <w:p w14:paraId="2979BCCC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3E4CB1F4" w14:textId="5E3683D5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5 Investment aid for early adaptation to future Union standards;</w:t>
            </w:r>
          </w:p>
        </w:tc>
      </w:tr>
      <w:tr w:rsidR="00CF60AE" w:rsidRPr="000D4C4B" w14:paraId="0895F392" w14:textId="77777777" w:rsidTr="00D622F7">
        <w:tc>
          <w:tcPr>
            <w:tcW w:w="704" w:type="dxa"/>
          </w:tcPr>
          <w:p w14:paraId="6B2B4A69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76D29B1F" w14:textId="7B495B98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6 Investment aid for energy efficiency measures;</w:t>
            </w:r>
          </w:p>
        </w:tc>
      </w:tr>
      <w:tr w:rsidR="00CF60AE" w:rsidRPr="000D4C4B" w14:paraId="00DFA189" w14:textId="77777777" w:rsidTr="00D622F7">
        <w:tc>
          <w:tcPr>
            <w:tcW w:w="704" w:type="dxa"/>
          </w:tcPr>
          <w:p w14:paraId="7BADCC87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558C427D" w14:textId="38FC27A3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8 Aid for investment</w:t>
            </w:r>
            <w:r>
              <w:rPr>
                <w:rFonts w:asciiTheme="minorHAnsi" w:hAnsiTheme="minorHAnsi"/>
                <w:szCs w:val="18"/>
                <w:lang w:val="en-US"/>
              </w:rPr>
              <w:t>s</w:t>
            </w:r>
            <w:r w:rsidRPr="00DF4F18">
              <w:rPr>
                <w:rFonts w:asciiTheme="minorHAnsi" w:hAnsiTheme="minorHAnsi"/>
                <w:szCs w:val="18"/>
                <w:lang w:val="en-US"/>
              </w:rPr>
              <w:t xml:space="preserve"> in high-efficiency cogeneration;</w:t>
            </w:r>
          </w:p>
        </w:tc>
      </w:tr>
      <w:tr w:rsidR="00CF60AE" w:rsidRPr="000D4C4B" w14:paraId="38F184D4" w14:textId="77777777" w:rsidTr="00D622F7">
        <w:tc>
          <w:tcPr>
            <w:tcW w:w="704" w:type="dxa"/>
          </w:tcPr>
          <w:p w14:paraId="1E44BC5E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4DFB3372" w14:textId="49F96F81" w:rsidR="00CF60AE" w:rsidRPr="00DF4F18" w:rsidRDefault="00DF4F18" w:rsidP="00DF4F18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9 Aid for investment</w:t>
            </w:r>
            <w:r>
              <w:rPr>
                <w:rFonts w:asciiTheme="minorHAnsi" w:hAnsiTheme="minorHAnsi"/>
                <w:szCs w:val="18"/>
                <w:lang w:val="en-US"/>
              </w:rPr>
              <w:t>s</w:t>
            </w:r>
            <w:r w:rsidRPr="00DF4F18">
              <w:rPr>
                <w:rFonts w:asciiTheme="minorHAnsi" w:hAnsiTheme="minorHAnsi"/>
                <w:szCs w:val="18"/>
                <w:lang w:val="en-US"/>
              </w:rPr>
              <w:t xml:space="preserve"> </w:t>
            </w:r>
            <w:r>
              <w:rPr>
                <w:rFonts w:asciiTheme="minorHAnsi" w:hAnsiTheme="minorHAnsi"/>
                <w:szCs w:val="18"/>
                <w:lang w:val="en-US"/>
              </w:rPr>
              <w:t>promoting</w:t>
            </w:r>
            <w:r w:rsidRPr="00DF4F18">
              <w:rPr>
                <w:rFonts w:asciiTheme="minorHAnsi" w:hAnsiTheme="minorHAnsi"/>
                <w:szCs w:val="18"/>
                <w:lang w:val="en-US"/>
              </w:rPr>
              <w:t xml:space="preserve"> energy from renewable sources;</w:t>
            </w:r>
          </w:p>
        </w:tc>
      </w:tr>
      <w:tr w:rsidR="00CF60AE" w:rsidRPr="000D4C4B" w14:paraId="25320D5D" w14:textId="77777777" w:rsidTr="00D622F7">
        <w:tc>
          <w:tcPr>
            <w:tcW w:w="704" w:type="dxa"/>
          </w:tcPr>
          <w:p w14:paraId="24818419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17B566B6" w14:textId="15AD91B2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10 Investment aid for the remediation of contaminated sites;</w:t>
            </w:r>
          </w:p>
        </w:tc>
      </w:tr>
      <w:tr w:rsidR="00CF60AE" w:rsidRPr="000D4C4B" w14:paraId="06524130" w14:textId="77777777" w:rsidTr="00D622F7">
        <w:tc>
          <w:tcPr>
            <w:tcW w:w="704" w:type="dxa"/>
          </w:tcPr>
          <w:p w14:paraId="0C3779F0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474D94CC" w14:textId="203E041B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11 Investment aid for efficient heating and cooling networks;</w:t>
            </w:r>
          </w:p>
        </w:tc>
      </w:tr>
      <w:tr w:rsidR="00CF60AE" w:rsidRPr="000D4C4B" w14:paraId="0B1711FC" w14:textId="77777777" w:rsidTr="00D622F7">
        <w:tc>
          <w:tcPr>
            <w:tcW w:w="704" w:type="dxa"/>
          </w:tcPr>
          <w:p w14:paraId="1C9B7135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1252BC86" w14:textId="583842B3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12 Investment</w:t>
            </w:r>
            <w:r>
              <w:rPr>
                <w:rFonts w:asciiTheme="minorHAnsi" w:hAnsiTheme="minorHAnsi"/>
                <w:szCs w:val="18"/>
                <w:lang w:val="en-US"/>
              </w:rPr>
              <w:t xml:space="preserve"> aid for the recycling and reuse</w:t>
            </w:r>
            <w:r w:rsidRPr="00DF4F18">
              <w:rPr>
                <w:rFonts w:asciiTheme="minorHAnsi" w:hAnsiTheme="minorHAnsi"/>
                <w:szCs w:val="18"/>
                <w:lang w:val="en-US"/>
              </w:rPr>
              <w:t xml:space="preserve"> of waste;</w:t>
            </w:r>
          </w:p>
        </w:tc>
      </w:tr>
      <w:tr w:rsidR="00CF60AE" w:rsidRPr="000D4C4B" w14:paraId="32B2CA81" w14:textId="77777777" w:rsidTr="00D622F7">
        <w:tc>
          <w:tcPr>
            <w:tcW w:w="704" w:type="dxa"/>
          </w:tcPr>
          <w:p w14:paraId="0F19B7F5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68B2E973" w14:textId="74AD4269" w:rsidR="00CF60AE" w:rsidRPr="00DF4F18" w:rsidRDefault="00DF4F18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13 Investment aid for energy infrastructure;</w:t>
            </w:r>
          </w:p>
        </w:tc>
      </w:tr>
      <w:tr w:rsidR="00CF60AE" w:rsidRPr="000D4C4B" w14:paraId="68E2BBAC" w14:textId="77777777" w:rsidTr="00D622F7">
        <w:tc>
          <w:tcPr>
            <w:tcW w:w="704" w:type="dxa"/>
          </w:tcPr>
          <w:p w14:paraId="100F75A8" w14:textId="77777777" w:rsidR="00CF60AE" w:rsidRPr="00DF4F18" w:rsidRDefault="00CF60AE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</w:p>
        </w:tc>
        <w:tc>
          <w:tcPr>
            <w:tcW w:w="8423" w:type="dxa"/>
          </w:tcPr>
          <w:p w14:paraId="3C2169C0" w14:textId="60C8F1F7" w:rsidR="00CF60AE" w:rsidRPr="000F0437" w:rsidRDefault="000F0437" w:rsidP="00D622F7">
            <w:pPr>
              <w:spacing w:after="0"/>
              <w:rPr>
                <w:rFonts w:asciiTheme="minorHAnsi" w:hAnsiTheme="minorHAnsi"/>
                <w:szCs w:val="18"/>
                <w:lang w:val="en-US"/>
              </w:rPr>
            </w:pPr>
            <w:r w:rsidRPr="00DF4F18">
              <w:rPr>
                <w:rFonts w:asciiTheme="minorHAnsi" w:hAnsiTheme="minorHAnsi"/>
                <w:szCs w:val="18"/>
                <w:lang w:val="en-US"/>
              </w:rPr>
              <w:t>Art. 14. Aid for environmental studies.</w:t>
            </w:r>
          </w:p>
        </w:tc>
      </w:tr>
    </w:tbl>
    <w:p w14:paraId="52BFB0A0" w14:textId="77777777" w:rsidR="00C576A6" w:rsidRPr="00CF60AE" w:rsidRDefault="00C576A6" w:rsidP="00CF54D4">
      <w:pPr>
        <w:spacing w:after="0"/>
        <w:ind w:left="284"/>
      </w:pPr>
    </w:p>
    <w:p w14:paraId="2702BE13" w14:textId="708C1582" w:rsidR="0055258C" w:rsidRDefault="0055258C" w:rsidP="003761E3">
      <w:pPr>
        <w:spacing w:after="0"/>
        <w:jc w:val="both"/>
        <w:rPr>
          <w:lang w:val="en-US"/>
        </w:rPr>
      </w:pPr>
    </w:p>
    <w:p w14:paraId="37E01825" w14:textId="61C70984" w:rsidR="00893B30" w:rsidRPr="007C3DDC" w:rsidRDefault="00893B30" w:rsidP="00893B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jc w:val="both"/>
        <w:rPr>
          <w:b/>
          <w:lang w:val="en-US"/>
        </w:rPr>
      </w:pPr>
      <w:r w:rsidRPr="00893B30">
        <w:rPr>
          <w:b/>
          <w:lang w:val="en-US"/>
        </w:rPr>
        <w:t xml:space="preserve">It </w:t>
      </w:r>
      <w:proofErr w:type="gramStart"/>
      <w:r w:rsidRPr="00893B30">
        <w:rPr>
          <w:b/>
          <w:lang w:val="en-US"/>
        </w:rPr>
        <w:t>is advised</w:t>
      </w:r>
      <w:proofErr w:type="gramEnd"/>
      <w:r w:rsidRPr="00893B30">
        <w:rPr>
          <w:b/>
          <w:lang w:val="en-US"/>
        </w:rPr>
        <w:t xml:space="preserve"> to the company to refer to the </w:t>
      </w:r>
      <w:r>
        <w:rPr>
          <w:b/>
          <w:lang w:val="en-US"/>
        </w:rPr>
        <w:t>applicant’s guide published on</w:t>
      </w:r>
      <w:r w:rsidRPr="00893B30">
        <w:rPr>
          <w:b/>
          <w:lang w:val="en-US"/>
        </w:rPr>
        <w:t xml:space="preserve"> </w:t>
      </w:r>
      <w:hyperlink r:id="rId12" w:history="1">
        <w:r w:rsidRPr="00893B30">
          <w:rPr>
            <w:rStyle w:val="Hyperlink"/>
            <w:b/>
            <w:lang w:val="en-US"/>
          </w:rPr>
          <w:t xml:space="preserve">guichet.lu </w:t>
        </w:r>
      </w:hyperlink>
      <w:r w:rsidR="007C3DDC" w:rsidRPr="007C3DDC">
        <w:rPr>
          <w:b/>
          <w:lang w:val="en-US"/>
        </w:rPr>
        <w:t xml:space="preserve">before </w:t>
      </w:r>
      <w:r w:rsidR="007C3DDC">
        <w:rPr>
          <w:b/>
          <w:lang w:val="en-US"/>
        </w:rPr>
        <w:t>preparing the request for State Aid.</w:t>
      </w:r>
    </w:p>
    <w:p w14:paraId="41E3C096" w14:textId="12A34D5A" w:rsidR="00893B30" w:rsidRPr="00956C66" w:rsidRDefault="007C3DDC" w:rsidP="007C3DDC">
      <w:pPr>
        <w:spacing w:after="0" w:line="240" w:lineRule="auto"/>
        <w:rPr>
          <w:b/>
          <w:lang w:val="en-US"/>
        </w:rPr>
      </w:pPr>
      <w:r w:rsidRPr="00956C66">
        <w:rPr>
          <w:b/>
          <w:lang w:val="en-US"/>
        </w:rPr>
        <w:br w:type="page"/>
      </w:r>
    </w:p>
    <w:p w14:paraId="22AABEE1" w14:textId="429377E4" w:rsidR="000C7F53" w:rsidRPr="007D4B7B" w:rsidRDefault="00C576A6" w:rsidP="00A907ED">
      <w:pPr>
        <w:pStyle w:val="Heading1"/>
        <w:rPr>
          <w:lang w:val="en-GB"/>
        </w:rPr>
      </w:pPr>
      <w:r w:rsidRPr="00956C66">
        <w:rPr>
          <w:lang w:val="en-US"/>
        </w:rPr>
        <w:lastRenderedPageBreak/>
        <w:t xml:space="preserve"> </w:t>
      </w:r>
      <w:r w:rsidRPr="007D4B7B">
        <w:rPr>
          <w:lang w:val="en-GB"/>
        </w:rPr>
        <w:t>Details of the planned investment project</w:t>
      </w:r>
    </w:p>
    <w:p w14:paraId="6460D610" w14:textId="19B61C59" w:rsidR="000C7F53" w:rsidRDefault="000C7F53" w:rsidP="00A907ED">
      <w:pPr>
        <w:pStyle w:val="Heading2"/>
        <w:ind w:left="426" w:hanging="426"/>
        <w:rPr>
          <w:lang w:val="en-GB"/>
        </w:rPr>
      </w:pPr>
      <w:r w:rsidRPr="007D4B7B">
        <w:rPr>
          <w:lang w:val="en-GB"/>
        </w:rPr>
        <w:t>Project objectives</w:t>
      </w:r>
    </w:p>
    <w:p w14:paraId="7A6A52E0" w14:textId="77777777" w:rsidR="00C815D5" w:rsidRPr="00C815D5" w:rsidRDefault="00C815D5" w:rsidP="00C815D5">
      <w:pPr>
        <w:rPr>
          <w:lang w:val="en-GB"/>
        </w:rPr>
      </w:pPr>
    </w:p>
    <w:p w14:paraId="526454DF" w14:textId="442B3F08" w:rsidR="00C815D5" w:rsidRPr="00C815D5" w:rsidRDefault="00C815D5" w:rsidP="00C815D5">
      <w:pPr>
        <w:pStyle w:val="Heading2"/>
        <w:ind w:left="426" w:hanging="426"/>
        <w:rPr>
          <w:lang w:val="en-US"/>
        </w:rPr>
      </w:pPr>
      <w:r w:rsidRPr="00C815D5">
        <w:rPr>
          <w:lang w:val="en-US"/>
        </w:rPr>
        <w:t>History and evolution of the project</w:t>
      </w:r>
    </w:p>
    <w:p w14:paraId="65AB4D2D" w14:textId="11173853" w:rsidR="00C576A6" w:rsidRPr="00C815D5" w:rsidRDefault="00C576A6" w:rsidP="00C576A6">
      <w:pPr>
        <w:rPr>
          <w:lang w:val="en-US"/>
        </w:rPr>
      </w:pPr>
    </w:p>
    <w:p w14:paraId="0505CA29" w14:textId="26151972" w:rsidR="00EC54ED" w:rsidRPr="007D4B7B" w:rsidRDefault="00EC54ED" w:rsidP="00EC54ED">
      <w:pPr>
        <w:pStyle w:val="Heading2"/>
        <w:ind w:left="426" w:hanging="426"/>
        <w:rPr>
          <w:lang w:val="en-GB"/>
        </w:rPr>
      </w:pPr>
      <w:r w:rsidRPr="007D4B7B">
        <w:rPr>
          <w:lang w:val="en-GB"/>
        </w:rPr>
        <w:t>Detailed description of the proposed technical solution</w:t>
      </w:r>
    </w:p>
    <w:p w14:paraId="716AE194" w14:textId="4DDC01DD" w:rsidR="00EC54ED" w:rsidRPr="007D4B7B" w:rsidRDefault="00EC54ED" w:rsidP="00EC54ED">
      <w:pPr>
        <w:spacing w:after="0"/>
        <w:rPr>
          <w:i/>
          <w:lang w:val="en-GB"/>
        </w:rPr>
      </w:pPr>
      <w:r w:rsidRPr="007D4B7B">
        <w:rPr>
          <w:i/>
          <w:lang w:val="en-GB"/>
        </w:rPr>
        <w:t>Provide a description of the proposed technical solution, along with block diagrams, specifications and technical drawings.</w:t>
      </w:r>
    </w:p>
    <w:p w14:paraId="0C4063F7" w14:textId="3E75190A" w:rsidR="00EC54ED" w:rsidRPr="007D4B7B" w:rsidRDefault="00EC54ED" w:rsidP="00EC54ED">
      <w:pPr>
        <w:spacing w:after="0"/>
        <w:rPr>
          <w:i/>
          <w:lang w:val="en-GB"/>
        </w:rPr>
      </w:pPr>
      <w:r w:rsidRPr="007D4B7B">
        <w:rPr>
          <w:i/>
          <w:lang w:val="en-GB"/>
        </w:rPr>
        <w:t>Where applicable, describe the innovative nature of the technology (i.e., how it surpasses the solutions currently in place) and its technical potential.</w:t>
      </w:r>
      <w:r w:rsidR="00C576A6" w:rsidRPr="007D4B7B">
        <w:rPr>
          <w:lang w:val="en-GB"/>
        </w:rPr>
        <w:t xml:space="preserve"> </w:t>
      </w:r>
      <w:r w:rsidR="00C576A6" w:rsidRPr="007D4B7B">
        <w:rPr>
          <w:i/>
          <w:lang w:val="en-GB"/>
        </w:rPr>
        <w:t>Specify the life span/expectancy of the proposed measure(s).</w:t>
      </w:r>
    </w:p>
    <w:p w14:paraId="2E6F7911" w14:textId="2F9D7512" w:rsidR="00EC54ED" w:rsidRPr="007D4B7B" w:rsidRDefault="00EC54ED" w:rsidP="00EC54ED">
      <w:pPr>
        <w:spacing w:after="0"/>
        <w:rPr>
          <w:lang w:val="en-GB"/>
        </w:rPr>
      </w:pPr>
    </w:p>
    <w:p w14:paraId="46A10C1B" w14:textId="77777777" w:rsidR="00C576A6" w:rsidRPr="007D4B7B" w:rsidRDefault="00C576A6" w:rsidP="00EC54ED">
      <w:pPr>
        <w:spacing w:after="0"/>
        <w:rPr>
          <w:lang w:val="en-GB"/>
        </w:rPr>
      </w:pPr>
    </w:p>
    <w:p w14:paraId="6AD44281" w14:textId="775A6074" w:rsidR="00890221" w:rsidRPr="007D4B7B" w:rsidRDefault="00890221" w:rsidP="009B284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val="en-GB"/>
        </w:rPr>
      </w:pPr>
    </w:p>
    <w:p w14:paraId="0F59D551" w14:textId="77777777" w:rsidR="00C576A6" w:rsidRPr="007D4B7B" w:rsidRDefault="00C576A6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en-GB"/>
        </w:rPr>
      </w:pPr>
      <w:r w:rsidRPr="007D4B7B">
        <w:rPr>
          <w:lang w:val="en-GB"/>
        </w:rPr>
        <w:br w:type="page"/>
      </w:r>
    </w:p>
    <w:p w14:paraId="06B2A857" w14:textId="60F0C246" w:rsidR="00890221" w:rsidRPr="007D4B7B" w:rsidRDefault="00890221" w:rsidP="00890221">
      <w:pPr>
        <w:pStyle w:val="Heading2"/>
        <w:ind w:left="426" w:hanging="426"/>
        <w:rPr>
          <w:lang w:val="en-GB"/>
        </w:rPr>
      </w:pPr>
      <w:r w:rsidRPr="007D4B7B">
        <w:rPr>
          <w:lang w:val="en-GB"/>
        </w:rPr>
        <w:lastRenderedPageBreak/>
        <w:t>Assessment of the expected impact of the project in terms of environmental protection</w:t>
      </w:r>
    </w:p>
    <w:p w14:paraId="24272902" w14:textId="77777777" w:rsidR="00890221" w:rsidRPr="007D4B7B" w:rsidRDefault="00890221" w:rsidP="0089022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D4B7B">
        <w:rPr>
          <w:rFonts w:asciiTheme="minorHAnsi" w:hAnsiTheme="minorHAnsi" w:cstheme="minorHAnsi"/>
          <w:i/>
          <w:lang w:val="en-GB"/>
        </w:rPr>
        <w:t xml:space="preserve">Quantitative assessment: </w:t>
      </w:r>
    </w:p>
    <w:p w14:paraId="75AAD644" w14:textId="3B0ED860" w:rsidR="00890221" w:rsidRDefault="00630456" w:rsidP="00C576A6">
      <w:pPr>
        <w:pStyle w:val="ListParagraph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D4B7B">
        <w:rPr>
          <w:rFonts w:asciiTheme="minorHAnsi" w:hAnsiTheme="minorHAnsi" w:cstheme="minorHAnsi"/>
          <w:i/>
          <w:lang w:val="en-GB"/>
        </w:rPr>
        <w:t xml:space="preserve">Going beyond </w:t>
      </w:r>
      <w:r w:rsidR="00890221" w:rsidRPr="007D4B7B">
        <w:rPr>
          <w:rFonts w:asciiTheme="minorHAnsi" w:hAnsiTheme="minorHAnsi" w:cstheme="minorHAnsi"/>
          <w:i/>
          <w:lang w:val="en-GB"/>
        </w:rPr>
        <w:t xml:space="preserve">environmental standards: Quantify the extent to which applicable standards </w:t>
      </w:r>
      <w:proofErr w:type="gramStart"/>
      <w:r w:rsidR="00890221" w:rsidRPr="007D4B7B">
        <w:rPr>
          <w:rFonts w:asciiTheme="minorHAnsi" w:hAnsiTheme="minorHAnsi" w:cstheme="minorHAnsi"/>
          <w:i/>
          <w:lang w:val="en-GB"/>
        </w:rPr>
        <w:t>are surpassed</w:t>
      </w:r>
      <w:proofErr w:type="gramEnd"/>
      <w:r w:rsidR="00890221" w:rsidRPr="007D4B7B">
        <w:rPr>
          <w:rFonts w:asciiTheme="minorHAnsi" w:hAnsiTheme="minorHAnsi" w:cstheme="minorHAnsi"/>
          <w:i/>
          <w:lang w:val="en-GB"/>
        </w:rPr>
        <w:t xml:space="preserve"> or, in the absence of such standards, the expected improvements. Provide details on the applicable standards,</w:t>
      </w:r>
      <w:r w:rsidR="00890221" w:rsidRPr="007D4B7B">
        <w:rPr>
          <w:i/>
          <w:lang w:val="en-GB"/>
        </w:rPr>
        <w:t xml:space="preserve"> and a technical data sheet demonstrating the technology's effectiveness, or an evaluation report </w:t>
      </w:r>
      <w:r w:rsidR="00DE1D3E" w:rsidRPr="007D4B7B">
        <w:rPr>
          <w:i/>
          <w:lang w:val="en-GB"/>
        </w:rPr>
        <w:t xml:space="preserve">proving </w:t>
      </w:r>
      <w:r w:rsidR="00890221" w:rsidRPr="007D4B7B">
        <w:rPr>
          <w:i/>
          <w:lang w:val="en-GB"/>
        </w:rPr>
        <w:t>the</w:t>
      </w:r>
      <w:r w:rsidRPr="007D4B7B">
        <w:rPr>
          <w:i/>
          <w:lang w:val="en-GB"/>
        </w:rPr>
        <w:t xml:space="preserve"> expected</w:t>
      </w:r>
      <w:r w:rsidR="00890221" w:rsidRPr="007D4B7B">
        <w:rPr>
          <w:i/>
          <w:lang w:val="en-GB"/>
        </w:rPr>
        <w:t xml:space="preserve"> pollutant</w:t>
      </w:r>
      <w:r w:rsidRPr="007D4B7B">
        <w:rPr>
          <w:i/>
          <w:lang w:val="en-GB"/>
        </w:rPr>
        <w:t>(s)</w:t>
      </w:r>
      <w:r w:rsidR="00890221" w:rsidRPr="007D4B7B">
        <w:rPr>
          <w:i/>
          <w:lang w:val="en-GB"/>
        </w:rPr>
        <w:t xml:space="preserve"> emission </w:t>
      </w:r>
      <w:r w:rsidRPr="007D4B7B">
        <w:rPr>
          <w:i/>
          <w:lang w:val="en-GB"/>
        </w:rPr>
        <w:t xml:space="preserve">thresholds level(s) </w:t>
      </w:r>
      <w:r w:rsidR="00890221" w:rsidRPr="007D4B7B">
        <w:rPr>
          <w:i/>
          <w:lang w:val="en-GB"/>
        </w:rPr>
        <w:t xml:space="preserve">to </w:t>
      </w:r>
      <w:proofErr w:type="gramStart"/>
      <w:r w:rsidR="00890221" w:rsidRPr="007D4B7B">
        <w:rPr>
          <w:i/>
          <w:lang w:val="en-GB"/>
        </w:rPr>
        <w:t xml:space="preserve">be </w:t>
      </w:r>
      <w:r w:rsidR="00DE1D3E" w:rsidRPr="007D4B7B">
        <w:rPr>
          <w:i/>
          <w:lang w:val="en-GB"/>
        </w:rPr>
        <w:t>reached</w:t>
      </w:r>
      <w:proofErr w:type="gramEnd"/>
      <w:r w:rsidR="00890221" w:rsidRPr="007D4B7B">
        <w:rPr>
          <w:i/>
          <w:lang w:val="en-GB"/>
        </w:rPr>
        <w:t xml:space="preserve">. </w:t>
      </w:r>
      <w:r w:rsidR="00841956" w:rsidRPr="007D4B7B">
        <w:rPr>
          <w:rFonts w:asciiTheme="minorHAnsi" w:hAnsiTheme="minorHAnsi" w:cstheme="minorHAnsi"/>
          <w:i/>
          <w:lang w:val="en-GB"/>
        </w:rPr>
        <w:t xml:space="preserve">The associated economic gains and the return on investment </w:t>
      </w:r>
      <w:proofErr w:type="gramStart"/>
      <w:r w:rsidR="00841956" w:rsidRPr="007D4B7B">
        <w:rPr>
          <w:rFonts w:asciiTheme="minorHAnsi" w:hAnsiTheme="minorHAnsi" w:cstheme="minorHAnsi"/>
          <w:i/>
          <w:lang w:val="en-GB"/>
        </w:rPr>
        <w:t>should be specified</w:t>
      </w:r>
      <w:proofErr w:type="gramEnd"/>
      <w:r w:rsidR="00841956" w:rsidRPr="007D4B7B">
        <w:rPr>
          <w:rFonts w:asciiTheme="minorHAnsi" w:hAnsiTheme="minorHAnsi" w:cstheme="minorHAnsi"/>
          <w:i/>
          <w:lang w:val="en-GB"/>
        </w:rPr>
        <w:t>.</w:t>
      </w:r>
    </w:p>
    <w:p w14:paraId="6B0F18D3" w14:textId="0B1E834B" w:rsidR="00C815D5" w:rsidRDefault="00C815D5" w:rsidP="00C815D5">
      <w:pPr>
        <w:pStyle w:val="ListParagraph"/>
        <w:numPr>
          <w:ilvl w:val="0"/>
          <w:numId w:val="32"/>
        </w:numPr>
        <w:overflowPunct w:val="0"/>
        <w:autoSpaceDE w:val="0"/>
        <w:autoSpaceDN w:val="0"/>
        <w:adjustRightInd w:val="0"/>
        <w:spacing w:after="120" w:line="240" w:lineRule="auto"/>
        <w:ind w:left="426"/>
        <w:jc w:val="both"/>
        <w:textAlignment w:val="baseline"/>
        <w:rPr>
          <w:rFonts w:asciiTheme="minorHAnsi" w:hAnsiTheme="minorHAnsi" w:cstheme="minorHAnsi"/>
          <w:i/>
          <w:lang w:val="en-GB"/>
        </w:rPr>
      </w:pPr>
      <w:r w:rsidRPr="007D4B7B">
        <w:rPr>
          <w:rFonts w:asciiTheme="minorHAnsi" w:hAnsiTheme="minorHAnsi" w:cstheme="minorHAnsi"/>
          <w:i/>
          <w:lang w:val="en-GB"/>
        </w:rPr>
        <w:t>Energy efficiency: Energy consumption and environmental impact (CO</w:t>
      </w:r>
      <w:r w:rsidRPr="007D4B7B">
        <w:rPr>
          <w:rFonts w:asciiTheme="minorHAnsi" w:hAnsiTheme="minorHAnsi" w:cstheme="minorHAnsi"/>
          <w:i/>
          <w:vertAlign w:val="subscript"/>
          <w:lang w:val="en-GB"/>
        </w:rPr>
        <w:t>2</w:t>
      </w:r>
      <w:r w:rsidRPr="007D4B7B">
        <w:rPr>
          <w:rFonts w:asciiTheme="minorHAnsi" w:hAnsiTheme="minorHAnsi" w:cstheme="minorHAnsi"/>
          <w:i/>
          <w:lang w:val="en-GB"/>
        </w:rPr>
        <w:t xml:space="preserve"> emissions) (i.e., savings in terms of energy/resources/CO</w:t>
      </w:r>
      <w:r w:rsidRPr="007D4B7B">
        <w:rPr>
          <w:rFonts w:asciiTheme="minorHAnsi" w:hAnsiTheme="minorHAnsi" w:cstheme="minorHAnsi"/>
          <w:i/>
          <w:vertAlign w:val="subscript"/>
          <w:lang w:val="en-GB"/>
        </w:rPr>
        <w:t>2</w:t>
      </w:r>
      <w:r w:rsidRPr="007D4B7B">
        <w:rPr>
          <w:rFonts w:asciiTheme="minorHAnsi" w:hAnsiTheme="minorHAnsi" w:cstheme="minorHAnsi"/>
          <w:i/>
          <w:lang w:val="en-GB"/>
        </w:rPr>
        <w:t xml:space="preserve">; efficiency gains, etc.) before and after the implementation of the project. The associated economic gains and the return on investment </w:t>
      </w:r>
      <w:proofErr w:type="gramStart"/>
      <w:r w:rsidRPr="007D4B7B">
        <w:rPr>
          <w:rFonts w:asciiTheme="minorHAnsi" w:hAnsiTheme="minorHAnsi" w:cstheme="minorHAnsi"/>
          <w:i/>
          <w:lang w:val="en-GB"/>
        </w:rPr>
        <w:t>should be specified</w:t>
      </w:r>
      <w:proofErr w:type="gramEnd"/>
      <w:r w:rsidRPr="007D4B7B">
        <w:rPr>
          <w:rFonts w:asciiTheme="minorHAnsi" w:hAnsiTheme="minorHAnsi" w:cstheme="minorHAnsi"/>
          <w:i/>
          <w:lang w:val="en-GB"/>
        </w:rPr>
        <w:t>.</w:t>
      </w:r>
    </w:p>
    <w:p w14:paraId="2C9F804E" w14:textId="425FF6F6" w:rsidR="00601025" w:rsidRDefault="00601025" w:rsidP="006010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Theme="minorHAnsi" w:hAnsiTheme="minorHAnsi" w:cstheme="minorHAnsi"/>
          <w:i/>
          <w:lang w:val="en-GB"/>
        </w:rPr>
      </w:pPr>
    </w:p>
    <w:p w14:paraId="7692173A" w14:textId="401131B2" w:rsidR="00601025" w:rsidRPr="00601025" w:rsidRDefault="00601025" w:rsidP="006010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Theme="minorHAnsi" w:hAnsiTheme="minorHAnsi" w:cstheme="minorHAnsi"/>
          <w:lang w:val="en-GB"/>
        </w:rPr>
      </w:pPr>
    </w:p>
    <w:p w14:paraId="6EAC5F7D" w14:textId="77777777" w:rsidR="00601025" w:rsidRPr="00601025" w:rsidRDefault="00601025" w:rsidP="00601025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Theme="minorHAnsi" w:hAnsiTheme="minorHAnsi" w:cstheme="minorHAnsi"/>
          <w:i/>
          <w:lang w:val="en-GB"/>
        </w:rPr>
      </w:pPr>
    </w:p>
    <w:p w14:paraId="7D21BA66" w14:textId="03A6A21C" w:rsidR="00C815D5" w:rsidRPr="00C815D5" w:rsidRDefault="00C815D5" w:rsidP="00C815D5">
      <w:pPr>
        <w:pStyle w:val="Heading2"/>
        <w:ind w:left="426" w:hanging="426"/>
        <w:rPr>
          <w:lang w:val="en-US"/>
        </w:rPr>
      </w:pPr>
      <w:r w:rsidRPr="00C815D5">
        <w:rPr>
          <w:lang w:val="en-US"/>
        </w:rPr>
        <w:t>Description of the counterfactual reference (if applicable)</w:t>
      </w:r>
    </w:p>
    <w:p w14:paraId="1B1E447B" w14:textId="77777777" w:rsidR="00C815D5" w:rsidRPr="00C815D5" w:rsidRDefault="00C815D5" w:rsidP="00C815D5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3BB1C164" w14:textId="3C52762E" w:rsid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  <w:r w:rsidRPr="00601025">
        <w:rPr>
          <w:rFonts w:asciiTheme="minorHAnsi" w:hAnsiTheme="minorHAnsi" w:cstheme="minorHAnsi"/>
          <w:i/>
          <w:lang w:val="en-US"/>
        </w:rPr>
        <w:t xml:space="preserve">The aid rates </w:t>
      </w:r>
      <w:proofErr w:type="gramStart"/>
      <w:r>
        <w:rPr>
          <w:rFonts w:asciiTheme="minorHAnsi" w:hAnsiTheme="minorHAnsi" w:cstheme="minorHAnsi"/>
          <w:i/>
          <w:lang w:val="en-US"/>
        </w:rPr>
        <w:t>are based</w:t>
      </w:r>
      <w:proofErr w:type="gramEnd"/>
      <w:r>
        <w:rPr>
          <w:rFonts w:asciiTheme="minorHAnsi" w:hAnsiTheme="minorHAnsi" w:cstheme="minorHAnsi"/>
          <w:i/>
          <w:lang w:val="en-US"/>
        </w:rPr>
        <w:t xml:space="preserve"> on</w:t>
      </w:r>
      <w:r w:rsidRPr="00601025">
        <w:rPr>
          <w:rFonts w:asciiTheme="minorHAnsi" w:hAnsiTheme="minorHAnsi" w:cstheme="minorHAnsi"/>
          <w:i/>
          <w:lang w:val="en-US"/>
        </w:rPr>
        <w:t xml:space="preserve"> the </w:t>
      </w:r>
      <w:r w:rsidRPr="00515DE2">
        <w:rPr>
          <w:rFonts w:asciiTheme="minorHAnsi" w:hAnsiTheme="minorHAnsi" w:cstheme="minorHAnsi"/>
          <w:i/>
          <w:lang w:val="en-US"/>
        </w:rPr>
        <w:t>admissible</w:t>
      </w:r>
      <w:r w:rsidRPr="00601025">
        <w:rPr>
          <w:rFonts w:asciiTheme="minorHAnsi" w:hAnsiTheme="minorHAnsi" w:cstheme="minorHAnsi"/>
          <w:i/>
          <w:lang w:val="en-US"/>
        </w:rPr>
        <w:t xml:space="preserve"> cost</w:t>
      </w:r>
      <w:r>
        <w:rPr>
          <w:rFonts w:asciiTheme="minorHAnsi" w:hAnsiTheme="minorHAnsi" w:cstheme="minorHAnsi"/>
          <w:i/>
          <w:lang w:val="en-US"/>
        </w:rPr>
        <w:t xml:space="preserve"> of the project</w:t>
      </w:r>
      <w:r w:rsidRPr="00601025">
        <w:rPr>
          <w:rFonts w:asciiTheme="minorHAnsi" w:hAnsiTheme="minorHAnsi" w:cstheme="minorHAnsi"/>
          <w:i/>
          <w:lang w:val="en-US"/>
        </w:rPr>
        <w:t xml:space="preserve">, which is generally the additional cost of the eligible measure </w:t>
      </w:r>
      <w:r>
        <w:rPr>
          <w:rFonts w:asciiTheme="minorHAnsi" w:hAnsiTheme="minorHAnsi" w:cstheme="minorHAnsi"/>
          <w:i/>
          <w:lang w:val="en-US"/>
        </w:rPr>
        <w:t>compared</w:t>
      </w:r>
      <w:r w:rsidRPr="00601025">
        <w:rPr>
          <w:rFonts w:asciiTheme="minorHAnsi" w:hAnsiTheme="minorHAnsi" w:cstheme="minorHAnsi"/>
          <w:i/>
          <w:lang w:val="en-US"/>
        </w:rPr>
        <w:t xml:space="preserve"> to the counterfactual reference. The latter refers to the hypothetical case where a technically comparable environmental protection investment would be made</w:t>
      </w:r>
      <w:r>
        <w:rPr>
          <w:rFonts w:asciiTheme="minorHAnsi" w:hAnsiTheme="minorHAnsi" w:cstheme="minorHAnsi"/>
          <w:i/>
          <w:lang w:val="en-US"/>
        </w:rPr>
        <w:t>,</w:t>
      </w:r>
      <w:r w:rsidRPr="00601025">
        <w:rPr>
          <w:rFonts w:asciiTheme="minorHAnsi" w:hAnsiTheme="minorHAnsi" w:cstheme="minorHAnsi"/>
          <w:i/>
          <w:lang w:val="en-US"/>
        </w:rPr>
        <w:t xml:space="preserve"> </w:t>
      </w:r>
      <w:r>
        <w:rPr>
          <w:rFonts w:asciiTheme="minorHAnsi" w:hAnsiTheme="minorHAnsi" w:cstheme="minorHAnsi"/>
          <w:i/>
          <w:lang w:val="en-US"/>
        </w:rPr>
        <w:t>which</w:t>
      </w:r>
      <w:r w:rsidRPr="00601025">
        <w:rPr>
          <w:rFonts w:asciiTheme="minorHAnsi" w:hAnsiTheme="minorHAnsi" w:cstheme="minorHAnsi"/>
          <w:i/>
          <w:lang w:val="en-US"/>
        </w:rPr>
        <w:t xml:space="preserve"> could likely be </w:t>
      </w:r>
      <w:proofErr w:type="spellStart"/>
      <w:r w:rsidR="00826820">
        <w:rPr>
          <w:rFonts w:asciiTheme="minorHAnsi" w:hAnsiTheme="minorHAnsi" w:cstheme="minorHAnsi"/>
          <w:i/>
          <w:lang w:val="en-US"/>
        </w:rPr>
        <w:t>realised</w:t>
      </w:r>
      <w:proofErr w:type="spellEnd"/>
      <w:r w:rsidRPr="00601025">
        <w:rPr>
          <w:rFonts w:asciiTheme="minorHAnsi" w:hAnsiTheme="minorHAnsi" w:cstheme="minorHAnsi"/>
          <w:i/>
          <w:lang w:val="en-US"/>
        </w:rPr>
        <w:t xml:space="preserve"> without investment aid for environmental protection and which is, from a commercial point of view, a credible alternative to the investment being assessed. </w:t>
      </w:r>
    </w:p>
    <w:p w14:paraId="3AE6D623" w14:textId="77777777" w:rsidR="00601025" w:rsidRP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</w:p>
    <w:p w14:paraId="2D54EEBF" w14:textId="729D404A" w:rsid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  <w:r w:rsidRPr="00601025">
        <w:rPr>
          <w:rFonts w:asciiTheme="minorHAnsi" w:hAnsiTheme="minorHAnsi" w:cstheme="minorHAnsi"/>
          <w:i/>
          <w:lang w:val="en-US"/>
        </w:rPr>
        <w:t xml:space="preserve">The Applicant's Guide includes a table illustrating the typical counterfactual references to </w:t>
      </w:r>
      <w:proofErr w:type="gramStart"/>
      <w:r w:rsidRPr="00601025">
        <w:rPr>
          <w:rFonts w:asciiTheme="minorHAnsi" w:hAnsiTheme="minorHAnsi" w:cstheme="minorHAnsi"/>
          <w:i/>
          <w:lang w:val="en-US"/>
        </w:rPr>
        <w:t>be applied</w:t>
      </w:r>
      <w:proofErr w:type="gramEnd"/>
      <w:r w:rsidRPr="00601025">
        <w:rPr>
          <w:rFonts w:asciiTheme="minorHAnsi" w:hAnsiTheme="minorHAnsi" w:cstheme="minorHAnsi"/>
          <w:i/>
          <w:lang w:val="en-US"/>
        </w:rPr>
        <w:t xml:space="preserve">. </w:t>
      </w:r>
    </w:p>
    <w:p w14:paraId="15B84448" w14:textId="77777777" w:rsidR="00CB1C54" w:rsidRPr="00601025" w:rsidRDefault="00CB1C54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</w:p>
    <w:p w14:paraId="2E57F1ED" w14:textId="6B858084" w:rsid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  <w:r w:rsidRPr="00601025">
        <w:rPr>
          <w:rFonts w:asciiTheme="minorHAnsi" w:hAnsiTheme="minorHAnsi" w:cstheme="minorHAnsi"/>
          <w:i/>
          <w:lang w:val="en-US"/>
        </w:rPr>
        <w:t xml:space="preserve">The scenario of the counterfactual reference is to </w:t>
      </w:r>
      <w:proofErr w:type="gramStart"/>
      <w:r w:rsidRPr="00601025">
        <w:rPr>
          <w:rFonts w:asciiTheme="minorHAnsi" w:hAnsiTheme="minorHAnsi" w:cstheme="minorHAnsi"/>
          <w:i/>
          <w:lang w:val="en-US"/>
        </w:rPr>
        <w:t>be describ</w:t>
      </w:r>
      <w:r w:rsidR="00CB1C54">
        <w:rPr>
          <w:rFonts w:asciiTheme="minorHAnsi" w:hAnsiTheme="minorHAnsi" w:cstheme="minorHAnsi"/>
          <w:i/>
          <w:lang w:val="en-US"/>
        </w:rPr>
        <w:t>ed</w:t>
      </w:r>
      <w:proofErr w:type="gramEnd"/>
      <w:r w:rsidR="00CB1C54">
        <w:rPr>
          <w:rFonts w:asciiTheme="minorHAnsi" w:hAnsiTheme="minorHAnsi" w:cstheme="minorHAnsi"/>
          <w:i/>
          <w:lang w:val="en-US"/>
        </w:rPr>
        <w:t xml:space="preserve"> here, in accordance with the </w:t>
      </w:r>
      <w:r w:rsidRPr="00601025">
        <w:rPr>
          <w:rFonts w:asciiTheme="minorHAnsi" w:hAnsiTheme="minorHAnsi" w:cstheme="minorHAnsi"/>
          <w:i/>
          <w:lang w:val="en-US"/>
        </w:rPr>
        <w:t>information</w:t>
      </w:r>
      <w:r w:rsidR="00CB1C54">
        <w:rPr>
          <w:rFonts w:asciiTheme="minorHAnsi" w:hAnsiTheme="minorHAnsi" w:cstheme="minorHAnsi"/>
          <w:i/>
          <w:lang w:val="en-US"/>
        </w:rPr>
        <w:t xml:space="preserve"> elements cited above</w:t>
      </w:r>
      <w:r w:rsidRPr="00601025">
        <w:rPr>
          <w:rFonts w:asciiTheme="minorHAnsi" w:hAnsiTheme="minorHAnsi" w:cstheme="minorHAnsi"/>
          <w:i/>
          <w:lang w:val="en-US"/>
        </w:rPr>
        <w:t>.</w:t>
      </w:r>
    </w:p>
    <w:p w14:paraId="0B8D04E0" w14:textId="77777777" w:rsidR="00601025" w:rsidRP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</w:p>
    <w:p w14:paraId="7EE8D115" w14:textId="5739F188" w:rsid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  <w:r w:rsidRPr="00601025">
        <w:rPr>
          <w:rFonts w:asciiTheme="minorHAnsi" w:hAnsiTheme="minorHAnsi" w:cstheme="minorHAnsi"/>
          <w:i/>
          <w:lang w:val="en-US"/>
        </w:rPr>
        <w:t>The counterfactual investment is</w:t>
      </w:r>
      <w:r w:rsidR="00DF7A36">
        <w:rPr>
          <w:rFonts w:asciiTheme="minorHAnsi" w:hAnsiTheme="minorHAnsi" w:cstheme="minorHAnsi"/>
          <w:i/>
          <w:lang w:val="en-US"/>
        </w:rPr>
        <w:t xml:space="preserve"> to be</w:t>
      </w:r>
      <w:r w:rsidRPr="00601025">
        <w:rPr>
          <w:rFonts w:asciiTheme="minorHAnsi" w:hAnsiTheme="minorHAnsi" w:cstheme="minorHAnsi"/>
          <w:i/>
          <w:lang w:val="en-US"/>
        </w:rPr>
        <w:t xml:space="preserve"> precisely encrypted in the excel spreadsheet "</w:t>
      </w:r>
      <w:r w:rsidR="00DF7A36">
        <w:rPr>
          <w:rFonts w:asciiTheme="minorHAnsi" w:hAnsiTheme="minorHAnsi" w:cstheme="minorHAnsi"/>
          <w:i/>
          <w:lang w:val="en-US"/>
        </w:rPr>
        <w:t>Financial Summary</w:t>
      </w:r>
      <w:r w:rsidRPr="00601025">
        <w:rPr>
          <w:rFonts w:asciiTheme="minorHAnsi" w:hAnsiTheme="minorHAnsi" w:cstheme="minorHAnsi"/>
          <w:i/>
          <w:lang w:val="en-US"/>
        </w:rPr>
        <w:t xml:space="preserve">.xlsx" and the respective price offers are to be attached to the </w:t>
      </w:r>
      <w:r w:rsidR="00DF7A36">
        <w:rPr>
          <w:rFonts w:asciiTheme="minorHAnsi" w:hAnsiTheme="minorHAnsi" w:cstheme="minorHAnsi"/>
          <w:i/>
          <w:lang w:val="en-US"/>
        </w:rPr>
        <w:t>application</w:t>
      </w:r>
      <w:r w:rsidRPr="00601025">
        <w:rPr>
          <w:rFonts w:asciiTheme="minorHAnsi" w:hAnsiTheme="minorHAnsi" w:cstheme="minorHAnsi"/>
          <w:i/>
          <w:lang w:val="en-US"/>
        </w:rPr>
        <w:t xml:space="preserve">.  </w:t>
      </w:r>
    </w:p>
    <w:p w14:paraId="1AA5F215" w14:textId="77777777" w:rsidR="00601025" w:rsidRP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</w:p>
    <w:p w14:paraId="5C0D02C2" w14:textId="3A6BB20D" w:rsidR="00C815D5" w:rsidRPr="00601025" w:rsidRDefault="00601025" w:rsidP="00601025">
      <w:pPr>
        <w:spacing w:after="0" w:line="240" w:lineRule="auto"/>
        <w:rPr>
          <w:rFonts w:asciiTheme="minorHAnsi" w:hAnsiTheme="minorHAnsi" w:cstheme="minorHAnsi"/>
          <w:i/>
          <w:lang w:val="en-US"/>
        </w:rPr>
      </w:pPr>
      <w:r w:rsidRPr="00601025">
        <w:rPr>
          <w:rFonts w:asciiTheme="minorHAnsi" w:hAnsiTheme="minorHAnsi" w:cstheme="minorHAnsi"/>
          <w:i/>
          <w:lang w:val="en-US"/>
        </w:rPr>
        <w:t xml:space="preserve">Note: For projects </w:t>
      </w:r>
      <w:r w:rsidR="00DF7A36">
        <w:rPr>
          <w:rFonts w:asciiTheme="minorHAnsi" w:hAnsiTheme="minorHAnsi" w:cstheme="minorHAnsi"/>
          <w:i/>
          <w:lang w:val="en-US"/>
        </w:rPr>
        <w:t>aiming</w:t>
      </w:r>
      <w:r w:rsidRPr="00601025">
        <w:rPr>
          <w:rFonts w:asciiTheme="minorHAnsi" w:hAnsiTheme="minorHAnsi" w:cstheme="minorHAnsi"/>
          <w:i/>
          <w:lang w:val="en-US"/>
        </w:rPr>
        <w:t xml:space="preserve"> </w:t>
      </w:r>
      <w:r w:rsidR="00DF7A36">
        <w:rPr>
          <w:rFonts w:asciiTheme="minorHAnsi" w:hAnsiTheme="minorHAnsi" w:cstheme="minorHAnsi"/>
          <w:i/>
          <w:lang w:val="en-US"/>
        </w:rPr>
        <w:t xml:space="preserve">to generate </w:t>
      </w:r>
      <w:r w:rsidRPr="00601025">
        <w:rPr>
          <w:rFonts w:asciiTheme="minorHAnsi" w:hAnsiTheme="minorHAnsi" w:cstheme="minorHAnsi"/>
          <w:i/>
          <w:lang w:val="en-US"/>
        </w:rPr>
        <w:t>electricity and</w:t>
      </w:r>
      <w:r w:rsidR="00DF7A36">
        <w:rPr>
          <w:rFonts w:asciiTheme="minorHAnsi" w:hAnsiTheme="minorHAnsi" w:cstheme="minorHAnsi"/>
          <w:i/>
          <w:lang w:val="en-US"/>
        </w:rPr>
        <w:t>/or</w:t>
      </w:r>
      <w:r w:rsidRPr="00601025">
        <w:rPr>
          <w:rFonts w:asciiTheme="minorHAnsi" w:hAnsiTheme="minorHAnsi" w:cstheme="minorHAnsi"/>
          <w:i/>
          <w:lang w:val="en-US"/>
        </w:rPr>
        <w:t xml:space="preserve"> heat, there is no need to quantify a counterfactual investment as specified above</w:t>
      </w:r>
      <w:r w:rsidR="00DF7A36">
        <w:rPr>
          <w:rFonts w:asciiTheme="minorHAnsi" w:hAnsiTheme="minorHAnsi" w:cstheme="minorHAnsi"/>
          <w:i/>
          <w:lang w:val="en-US"/>
        </w:rPr>
        <w:t>,</w:t>
      </w:r>
      <w:r w:rsidRPr="00601025">
        <w:rPr>
          <w:rFonts w:asciiTheme="minorHAnsi" w:hAnsiTheme="minorHAnsi" w:cstheme="minorHAnsi"/>
          <w:i/>
          <w:lang w:val="en-US"/>
        </w:rPr>
        <w:t xml:space="preserve"> as this exercise </w:t>
      </w:r>
      <w:proofErr w:type="gramStart"/>
      <w:r w:rsidRPr="00601025">
        <w:rPr>
          <w:rFonts w:asciiTheme="minorHAnsi" w:hAnsiTheme="minorHAnsi" w:cstheme="minorHAnsi"/>
          <w:i/>
          <w:lang w:val="en-US"/>
        </w:rPr>
        <w:t xml:space="preserve">will be </w:t>
      </w:r>
      <w:r w:rsidR="00DF7A36">
        <w:rPr>
          <w:rFonts w:asciiTheme="minorHAnsi" w:hAnsiTheme="minorHAnsi" w:cstheme="minorHAnsi"/>
          <w:i/>
          <w:lang w:val="en-US"/>
        </w:rPr>
        <w:t>carried out</w:t>
      </w:r>
      <w:proofErr w:type="gramEnd"/>
      <w:r w:rsidRPr="00601025">
        <w:rPr>
          <w:rFonts w:asciiTheme="minorHAnsi" w:hAnsiTheme="minorHAnsi" w:cstheme="minorHAnsi"/>
          <w:i/>
          <w:lang w:val="en-US"/>
        </w:rPr>
        <w:t xml:space="preserve"> as part of the standardized </w:t>
      </w:r>
      <w:r w:rsidR="00DF7A36">
        <w:rPr>
          <w:rFonts w:asciiTheme="minorHAnsi" w:hAnsiTheme="minorHAnsi" w:cstheme="minorHAnsi"/>
          <w:i/>
          <w:lang w:val="en-US"/>
        </w:rPr>
        <w:t>instruction</w:t>
      </w:r>
      <w:r w:rsidRPr="00601025">
        <w:rPr>
          <w:rFonts w:asciiTheme="minorHAnsi" w:hAnsiTheme="minorHAnsi" w:cstheme="minorHAnsi"/>
          <w:i/>
          <w:lang w:val="en-US"/>
        </w:rPr>
        <w:t xml:space="preserve"> procedure for all projects.</w:t>
      </w:r>
    </w:p>
    <w:p w14:paraId="64D80BD5" w14:textId="77777777" w:rsidR="00C815D5" w:rsidRPr="00C815D5" w:rsidRDefault="00C815D5" w:rsidP="00C815D5">
      <w:pPr>
        <w:spacing w:after="0" w:line="240" w:lineRule="auto"/>
        <w:rPr>
          <w:rFonts w:asciiTheme="minorHAnsi" w:hAnsiTheme="minorHAnsi" w:cstheme="minorHAnsi"/>
          <w:lang w:val="en-US"/>
        </w:rPr>
      </w:pPr>
    </w:p>
    <w:p w14:paraId="74CC87FF" w14:textId="12C6848F" w:rsidR="00C815D5" w:rsidRPr="00C815D5" w:rsidRDefault="00C815D5" w:rsidP="00C815D5">
      <w:pPr>
        <w:spacing w:after="0" w:line="240" w:lineRule="auto"/>
        <w:rPr>
          <w:rFonts w:asciiTheme="minorHAnsi" w:hAnsiTheme="minorHAnsi" w:cstheme="minorHAnsi"/>
          <w:lang w:val="en-US"/>
        </w:rPr>
      </w:pPr>
      <w:r w:rsidRPr="00C815D5">
        <w:rPr>
          <w:rFonts w:asciiTheme="minorHAnsi" w:hAnsiTheme="minorHAnsi" w:cstheme="minorHAnsi"/>
          <w:lang w:val="en-US"/>
        </w:rPr>
        <w:br w:type="page"/>
      </w:r>
    </w:p>
    <w:p w14:paraId="1739ACB3" w14:textId="77777777" w:rsidR="00042FE8" w:rsidRPr="00C815D5" w:rsidRDefault="00042FE8" w:rsidP="009B284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val="en-US"/>
        </w:rPr>
      </w:pPr>
    </w:p>
    <w:p w14:paraId="5A6D18E7" w14:textId="5D7367EC" w:rsidR="000D3C05" w:rsidRPr="007D4B7B" w:rsidRDefault="00C576A6" w:rsidP="002E0DA0">
      <w:pPr>
        <w:pStyle w:val="Heading1"/>
        <w:rPr>
          <w:lang w:val="en-GB"/>
        </w:rPr>
      </w:pPr>
      <w:r w:rsidRPr="00C815D5">
        <w:rPr>
          <w:lang w:val="en-US"/>
        </w:rPr>
        <w:t xml:space="preserve"> </w:t>
      </w:r>
      <w:r w:rsidR="00DE1D3E" w:rsidRPr="007D4B7B">
        <w:rPr>
          <w:lang w:val="en-GB"/>
        </w:rPr>
        <w:t>Project i</w:t>
      </w:r>
      <w:r w:rsidRPr="007D4B7B">
        <w:rPr>
          <w:lang w:val="en-GB"/>
        </w:rPr>
        <w:t xml:space="preserve">mplementation </w:t>
      </w:r>
    </w:p>
    <w:p w14:paraId="25ED8194" w14:textId="02CCC6D7" w:rsidR="006D5BE5" w:rsidRDefault="006D5BE5" w:rsidP="002E0DA0">
      <w:pPr>
        <w:pStyle w:val="Heading2"/>
        <w:ind w:left="426" w:hanging="426"/>
        <w:rPr>
          <w:lang w:val="en-GB"/>
        </w:rPr>
      </w:pPr>
      <w:r>
        <w:rPr>
          <w:lang w:val="en-GB"/>
        </w:rPr>
        <w:t>Incentive effect of the Aid</w:t>
      </w:r>
    </w:p>
    <w:p w14:paraId="6D9E373A" w14:textId="61FB3F66" w:rsidR="006D5BE5" w:rsidRPr="006D5BE5" w:rsidRDefault="006D5BE5" w:rsidP="006D5BE5">
      <w:pPr>
        <w:rPr>
          <w:i/>
          <w:lang w:val="en-GB"/>
        </w:rPr>
      </w:pPr>
      <w:r w:rsidRPr="006D5BE5">
        <w:rPr>
          <w:i/>
          <w:lang w:val="en-GB"/>
        </w:rPr>
        <w:t>Document and quantify the inc</w:t>
      </w:r>
      <w:r>
        <w:rPr>
          <w:i/>
          <w:lang w:val="en-GB"/>
        </w:rPr>
        <w:t xml:space="preserve">entive effect of the aid from the company’s </w:t>
      </w:r>
      <w:r w:rsidRPr="006D5BE5">
        <w:rPr>
          <w:i/>
          <w:lang w:val="en-GB"/>
        </w:rPr>
        <w:t xml:space="preserve">perspective. Describe to what extent state aid will </w:t>
      </w:r>
      <w:r>
        <w:rPr>
          <w:i/>
          <w:lang w:val="en-GB"/>
        </w:rPr>
        <w:t xml:space="preserve">change </w:t>
      </w:r>
      <w:r w:rsidRPr="006D5BE5">
        <w:rPr>
          <w:i/>
          <w:lang w:val="en-GB"/>
        </w:rPr>
        <w:t xml:space="preserve">the </w:t>
      </w:r>
      <w:proofErr w:type="spellStart"/>
      <w:r w:rsidRPr="006D5BE5">
        <w:rPr>
          <w:i/>
          <w:lang w:val="en-GB"/>
        </w:rPr>
        <w:t>behavior</w:t>
      </w:r>
      <w:proofErr w:type="spellEnd"/>
      <w:r w:rsidRPr="006D5BE5">
        <w:rPr>
          <w:i/>
          <w:lang w:val="en-GB"/>
        </w:rPr>
        <w:t xml:space="preserve"> of your </w:t>
      </w:r>
      <w:r>
        <w:rPr>
          <w:i/>
          <w:lang w:val="en-GB"/>
        </w:rPr>
        <w:t>company</w:t>
      </w:r>
      <w:r w:rsidRPr="006D5BE5">
        <w:rPr>
          <w:i/>
          <w:lang w:val="en-GB"/>
        </w:rPr>
        <w:t xml:space="preserve"> in order to increase the level of environmental protection or to improve the functioning of a secure and affordable European energy market.</w:t>
      </w:r>
    </w:p>
    <w:p w14:paraId="1CEA52F6" w14:textId="735884DA" w:rsidR="004F00E3" w:rsidRPr="007D4B7B" w:rsidRDefault="001619C2" w:rsidP="002E0DA0">
      <w:pPr>
        <w:pStyle w:val="Heading2"/>
        <w:ind w:left="426" w:hanging="426"/>
        <w:rPr>
          <w:lang w:val="en-GB"/>
        </w:rPr>
      </w:pPr>
      <w:r w:rsidRPr="007D4B7B">
        <w:rPr>
          <w:lang w:val="en-GB"/>
        </w:rPr>
        <w:t xml:space="preserve">In-house human resources </w:t>
      </w:r>
    </w:p>
    <w:p w14:paraId="0CF948AE" w14:textId="7D43C694" w:rsidR="001619C2" w:rsidRPr="007D4B7B" w:rsidRDefault="001619C2" w:rsidP="001619C2">
      <w:pPr>
        <w:spacing w:after="0"/>
        <w:rPr>
          <w:i/>
          <w:lang w:val="en-GB"/>
        </w:rPr>
      </w:pPr>
      <w:r w:rsidRPr="007D4B7B">
        <w:rPr>
          <w:i/>
          <w:lang w:val="en-GB"/>
        </w:rPr>
        <w:t xml:space="preserve">List the </w:t>
      </w:r>
      <w:r w:rsidR="00DE1D3E" w:rsidRPr="007D4B7B">
        <w:rPr>
          <w:i/>
          <w:lang w:val="en-GB"/>
        </w:rPr>
        <w:t>person(s) in charge of</w:t>
      </w:r>
      <w:r w:rsidRPr="007D4B7B">
        <w:rPr>
          <w:i/>
          <w:lang w:val="en-GB"/>
        </w:rPr>
        <w:t xml:space="preserve"> the project, and specify their qualifications and experience. </w:t>
      </w:r>
    </w:p>
    <w:p w14:paraId="5F0FDF7F" w14:textId="77777777" w:rsidR="001619C2" w:rsidRPr="007D4B7B" w:rsidRDefault="001619C2" w:rsidP="008D203B">
      <w:pPr>
        <w:spacing w:after="120"/>
        <w:rPr>
          <w:lang w:val="en-GB"/>
        </w:rPr>
      </w:pPr>
    </w:p>
    <w:p w14:paraId="6CA39C58" w14:textId="233EB262" w:rsidR="00F128D2" w:rsidRPr="007D4B7B" w:rsidRDefault="00F716E6" w:rsidP="002E0DA0">
      <w:pPr>
        <w:pStyle w:val="Heading2"/>
        <w:ind w:left="426" w:hanging="426"/>
        <w:rPr>
          <w:b w:val="0"/>
          <w:lang w:val="en-GB"/>
        </w:rPr>
      </w:pPr>
      <w:r w:rsidRPr="007D4B7B">
        <w:rPr>
          <w:lang w:val="en-GB"/>
        </w:rPr>
        <w:t xml:space="preserve">Technical components employed </w:t>
      </w:r>
    </w:p>
    <w:p w14:paraId="6315C373" w14:textId="23A7E3B4" w:rsidR="00F128D2" w:rsidRPr="007D4B7B" w:rsidRDefault="00A42A50" w:rsidP="00F128D2">
      <w:pPr>
        <w:spacing w:after="0"/>
        <w:rPr>
          <w:i/>
          <w:lang w:val="en-GB"/>
        </w:rPr>
      </w:pPr>
      <w:r w:rsidRPr="007D4B7B">
        <w:rPr>
          <w:i/>
          <w:lang w:val="en-GB"/>
        </w:rPr>
        <w:t xml:space="preserve">Provide a brief description of the materials and equipment </w:t>
      </w:r>
      <w:r w:rsidR="00DE1D3E" w:rsidRPr="007D4B7B">
        <w:rPr>
          <w:i/>
          <w:lang w:val="en-GB"/>
        </w:rPr>
        <w:t>implemented in the frame of</w:t>
      </w:r>
      <w:r w:rsidRPr="007D4B7B">
        <w:rPr>
          <w:i/>
          <w:lang w:val="en-GB"/>
        </w:rPr>
        <w:t xml:space="preserve"> the project (specified in the budget). </w:t>
      </w:r>
    </w:p>
    <w:p w14:paraId="0749F794" w14:textId="77777777" w:rsidR="00F128D2" w:rsidRPr="007D4B7B" w:rsidRDefault="00F128D2" w:rsidP="006D59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lang w:val="en-GB"/>
        </w:rPr>
      </w:pPr>
    </w:p>
    <w:p w14:paraId="129647F6" w14:textId="5AC20CFA" w:rsidR="000D3C05" w:rsidRPr="007D4B7B" w:rsidRDefault="000D3C05" w:rsidP="002E0DA0">
      <w:pPr>
        <w:pStyle w:val="Heading2"/>
        <w:ind w:left="426" w:hanging="426"/>
        <w:rPr>
          <w:lang w:val="en-GB"/>
        </w:rPr>
      </w:pPr>
      <w:r w:rsidRPr="007D4B7B">
        <w:rPr>
          <w:lang w:val="en-GB"/>
        </w:rPr>
        <w:t xml:space="preserve">Quarterly implementation schedule (Gantt chart) </w:t>
      </w:r>
    </w:p>
    <w:p w14:paraId="45E5EB74" w14:textId="77777777" w:rsidR="00074AAB" w:rsidRPr="007D4B7B" w:rsidRDefault="00074AAB" w:rsidP="00890221">
      <w:pPr>
        <w:spacing w:after="120"/>
        <w:rPr>
          <w:rFonts w:asciiTheme="minorHAnsi" w:hAnsiTheme="minorHAnsi" w:cstheme="minorHAnsi"/>
          <w:i/>
          <w:lang w:val="en-GB"/>
        </w:rPr>
      </w:pPr>
      <w:r w:rsidRPr="007D4B7B">
        <w:rPr>
          <w:rFonts w:asciiTheme="minorHAnsi" w:hAnsiTheme="minorHAnsi" w:cstheme="minorHAnsi"/>
          <w:i/>
          <w:lang w:val="en-GB"/>
        </w:rPr>
        <w:t>The applicant business has two options:</w:t>
      </w:r>
    </w:p>
    <w:p w14:paraId="20869A75" w14:textId="197307D9" w:rsidR="00074AAB" w:rsidRPr="007D4B7B" w:rsidRDefault="00074AAB" w:rsidP="00AC2873">
      <w:pPr>
        <w:pStyle w:val="ListParagraph"/>
        <w:spacing w:after="120"/>
        <w:ind w:left="360"/>
        <w:rPr>
          <w:rFonts w:asciiTheme="minorHAnsi" w:hAnsiTheme="minorHAnsi" w:cstheme="minorHAnsi"/>
          <w:i/>
          <w:lang w:val="en-GB"/>
        </w:rPr>
      </w:pPr>
      <w:proofErr w:type="gramStart"/>
      <w:r w:rsidRPr="007D4B7B">
        <w:rPr>
          <w:rFonts w:asciiTheme="minorHAnsi" w:hAnsiTheme="minorHAnsi" w:cstheme="minorHAnsi"/>
          <w:i/>
          <w:lang w:val="en-GB"/>
        </w:rPr>
        <w:t>a</w:t>
      </w:r>
      <w:proofErr w:type="gramEnd"/>
      <w:r w:rsidRPr="007D4B7B">
        <w:rPr>
          <w:rFonts w:asciiTheme="minorHAnsi" w:hAnsiTheme="minorHAnsi" w:cstheme="minorHAnsi"/>
          <w:i/>
          <w:lang w:val="en-GB"/>
        </w:rPr>
        <w:t>.</w:t>
      </w:r>
      <w:r w:rsidRPr="007D4B7B">
        <w:rPr>
          <w:rFonts w:asciiTheme="minorHAnsi" w:hAnsiTheme="minorHAnsi" w:cstheme="minorHAnsi"/>
          <w:i/>
          <w:lang w:val="en-GB"/>
        </w:rPr>
        <w:tab/>
        <w:t xml:space="preserve"> prepare its own Gantt chart and insert a copy here </w:t>
      </w:r>
    </w:p>
    <w:p w14:paraId="66E041C2" w14:textId="77777777" w:rsidR="00074AAB" w:rsidRPr="007D4B7B" w:rsidRDefault="00074AAB" w:rsidP="00AC2873">
      <w:pPr>
        <w:pStyle w:val="ListParagraph"/>
        <w:spacing w:after="120"/>
        <w:ind w:left="360"/>
        <w:rPr>
          <w:rFonts w:asciiTheme="minorHAnsi" w:hAnsiTheme="minorHAnsi" w:cstheme="minorHAnsi"/>
          <w:i/>
          <w:lang w:val="en-GB"/>
        </w:rPr>
      </w:pPr>
      <w:proofErr w:type="gramStart"/>
      <w:r w:rsidRPr="007D4B7B">
        <w:rPr>
          <w:rFonts w:asciiTheme="minorHAnsi" w:hAnsiTheme="minorHAnsi" w:cstheme="minorHAnsi"/>
          <w:i/>
          <w:lang w:val="en-GB"/>
        </w:rPr>
        <w:t>b</w:t>
      </w:r>
      <w:proofErr w:type="gramEnd"/>
      <w:r w:rsidRPr="007D4B7B">
        <w:rPr>
          <w:rFonts w:asciiTheme="minorHAnsi" w:hAnsiTheme="minorHAnsi" w:cstheme="minorHAnsi"/>
          <w:i/>
          <w:lang w:val="en-GB"/>
        </w:rPr>
        <w:t>.</w:t>
      </w:r>
      <w:r w:rsidRPr="007D4B7B">
        <w:rPr>
          <w:rFonts w:asciiTheme="minorHAnsi" w:hAnsiTheme="minorHAnsi" w:cstheme="minorHAnsi"/>
          <w:i/>
          <w:lang w:val="en-GB"/>
        </w:rPr>
        <w:tab/>
        <w:t xml:space="preserve"> fill in the chart in the Excel file "Financial Summary.xlsx", in the tab labelled "GANTT"</w:t>
      </w:r>
    </w:p>
    <w:p w14:paraId="4CE550CD" w14:textId="77777777" w:rsidR="00074AAB" w:rsidRPr="007D4B7B" w:rsidRDefault="00074AAB" w:rsidP="00AC2873">
      <w:pPr>
        <w:pStyle w:val="ListParagraph"/>
        <w:spacing w:after="120"/>
        <w:ind w:left="1066"/>
        <w:rPr>
          <w:b/>
          <w:lang w:val="en-GB"/>
        </w:rPr>
      </w:pPr>
    </w:p>
    <w:p w14:paraId="42CFB169" w14:textId="74ADC733" w:rsidR="00EC54ED" w:rsidRPr="007D4B7B" w:rsidRDefault="00EC54ED" w:rsidP="00EC54ED">
      <w:pPr>
        <w:pStyle w:val="Heading2"/>
        <w:ind w:left="426" w:hanging="426"/>
        <w:rPr>
          <w:lang w:val="en-GB"/>
        </w:rPr>
      </w:pPr>
      <w:r w:rsidRPr="007D4B7B">
        <w:rPr>
          <w:lang w:val="en-GB"/>
        </w:rPr>
        <w:t>Permits and authorisations</w:t>
      </w:r>
    </w:p>
    <w:p w14:paraId="01F4BE38" w14:textId="3B0218B7" w:rsidR="00A42A50" w:rsidRPr="007D4B7B" w:rsidRDefault="00A42A50" w:rsidP="00E557A8">
      <w:pPr>
        <w:jc w:val="both"/>
        <w:rPr>
          <w:rFonts w:asciiTheme="minorHAnsi" w:hAnsiTheme="minorHAnsi" w:cstheme="minorHAnsi"/>
          <w:i/>
          <w:lang w:val="en-GB"/>
        </w:rPr>
      </w:pPr>
      <w:r w:rsidRPr="007D4B7B">
        <w:rPr>
          <w:rFonts w:asciiTheme="minorHAnsi" w:hAnsiTheme="minorHAnsi" w:cstheme="minorHAnsi"/>
          <w:i/>
          <w:lang w:val="en-GB"/>
        </w:rPr>
        <w:t xml:space="preserve">The </w:t>
      </w:r>
      <w:r w:rsidR="00DE1D3E" w:rsidRPr="007D4B7B">
        <w:rPr>
          <w:rFonts w:asciiTheme="minorHAnsi" w:hAnsiTheme="minorHAnsi" w:cstheme="minorHAnsi"/>
          <w:i/>
          <w:lang w:val="en-GB"/>
        </w:rPr>
        <w:t>company</w:t>
      </w:r>
      <w:r w:rsidRPr="007D4B7B">
        <w:rPr>
          <w:rFonts w:asciiTheme="minorHAnsi" w:hAnsiTheme="minorHAnsi" w:cstheme="minorHAnsi"/>
          <w:i/>
          <w:lang w:val="en-GB"/>
        </w:rPr>
        <w:t xml:space="preserve"> </w:t>
      </w:r>
      <w:proofErr w:type="gramStart"/>
      <w:r w:rsidRPr="007D4B7B">
        <w:rPr>
          <w:rFonts w:asciiTheme="minorHAnsi" w:hAnsiTheme="minorHAnsi" w:cstheme="minorHAnsi"/>
          <w:i/>
          <w:lang w:val="en-GB"/>
        </w:rPr>
        <w:t>is expected</w:t>
      </w:r>
      <w:proofErr w:type="gramEnd"/>
      <w:r w:rsidRPr="007D4B7B">
        <w:rPr>
          <w:rFonts w:asciiTheme="minorHAnsi" w:hAnsiTheme="minorHAnsi" w:cstheme="minorHAnsi"/>
          <w:i/>
          <w:lang w:val="en-GB"/>
        </w:rPr>
        <w:t xml:space="preserve"> to complete all required formalities to obtain any necessary permits and authorisations (building, operation, environmental protection). The </w:t>
      </w:r>
      <w:r w:rsidR="00DE1D3E" w:rsidRPr="007D4B7B">
        <w:rPr>
          <w:rFonts w:asciiTheme="minorHAnsi" w:hAnsiTheme="minorHAnsi" w:cstheme="minorHAnsi"/>
          <w:i/>
          <w:lang w:val="en-GB"/>
        </w:rPr>
        <w:t xml:space="preserve">company should have started </w:t>
      </w:r>
      <w:r w:rsidRPr="007D4B7B">
        <w:rPr>
          <w:rFonts w:asciiTheme="minorHAnsi" w:hAnsiTheme="minorHAnsi" w:cstheme="minorHAnsi"/>
          <w:i/>
          <w:lang w:val="en-GB"/>
        </w:rPr>
        <w:t xml:space="preserve">the required formalities before submitting the aid application. Copies of all authorisations, or receipts in connection with authorisation applications, </w:t>
      </w:r>
      <w:proofErr w:type="gramStart"/>
      <w:r w:rsidRPr="007D4B7B">
        <w:rPr>
          <w:rFonts w:asciiTheme="minorHAnsi" w:hAnsiTheme="minorHAnsi" w:cstheme="minorHAnsi"/>
          <w:i/>
          <w:lang w:val="en-GB"/>
        </w:rPr>
        <w:t>must be provided</w:t>
      </w:r>
      <w:proofErr w:type="gramEnd"/>
      <w:r w:rsidRPr="007D4B7B">
        <w:rPr>
          <w:rFonts w:asciiTheme="minorHAnsi" w:hAnsiTheme="minorHAnsi" w:cstheme="minorHAnsi"/>
          <w:i/>
          <w:lang w:val="en-GB"/>
        </w:rPr>
        <w:t>. Also</w:t>
      </w:r>
      <w:r w:rsidR="005A7D3C">
        <w:rPr>
          <w:rFonts w:asciiTheme="minorHAnsi" w:hAnsiTheme="minorHAnsi" w:cstheme="minorHAnsi"/>
          <w:i/>
          <w:lang w:val="en-GB"/>
        </w:rPr>
        <w:t>,</w:t>
      </w:r>
      <w:r w:rsidRPr="007D4B7B">
        <w:rPr>
          <w:rFonts w:asciiTheme="minorHAnsi" w:hAnsiTheme="minorHAnsi" w:cstheme="minorHAnsi"/>
          <w:i/>
          <w:lang w:val="en-GB"/>
        </w:rPr>
        <w:t xml:space="preserve"> specify here the </w:t>
      </w:r>
      <w:r w:rsidR="00D5678A" w:rsidRPr="007D4B7B">
        <w:rPr>
          <w:rFonts w:asciiTheme="minorHAnsi" w:hAnsiTheme="minorHAnsi" w:cstheme="minorHAnsi"/>
          <w:i/>
          <w:lang w:val="en-GB"/>
        </w:rPr>
        <w:t xml:space="preserve">applications’ </w:t>
      </w:r>
      <w:r w:rsidRPr="007D4B7B">
        <w:rPr>
          <w:rFonts w:asciiTheme="minorHAnsi" w:hAnsiTheme="minorHAnsi" w:cstheme="minorHAnsi"/>
          <w:i/>
          <w:lang w:val="en-GB"/>
        </w:rPr>
        <w:t>status for the relevant authorisations.</w:t>
      </w:r>
    </w:p>
    <w:p w14:paraId="06A19F01" w14:textId="77777777" w:rsidR="003C3132" w:rsidRPr="007D4B7B" w:rsidRDefault="003C3132" w:rsidP="00E557A8">
      <w:pPr>
        <w:jc w:val="both"/>
        <w:rPr>
          <w:rFonts w:asciiTheme="minorHAnsi" w:hAnsiTheme="minorHAnsi" w:cstheme="minorHAnsi"/>
          <w:i/>
          <w:lang w:val="en-GB"/>
        </w:rPr>
      </w:pPr>
    </w:p>
    <w:p w14:paraId="4C1A0B12" w14:textId="658B58A7" w:rsidR="003C3132" w:rsidRPr="007D4B7B" w:rsidRDefault="003C3132" w:rsidP="003C3132">
      <w:pPr>
        <w:pStyle w:val="Heading1"/>
        <w:rPr>
          <w:lang w:val="en-GB"/>
        </w:rPr>
      </w:pPr>
      <w:r w:rsidRPr="007D4B7B">
        <w:rPr>
          <w:lang w:val="en-GB"/>
        </w:rPr>
        <w:t xml:space="preserve"> Financial summary of the project</w:t>
      </w:r>
    </w:p>
    <w:p w14:paraId="1E278337" w14:textId="1E10DC1E" w:rsidR="003C3132" w:rsidRDefault="003C3132" w:rsidP="003C3132">
      <w:pPr>
        <w:rPr>
          <w:rFonts w:asciiTheme="minorHAnsi" w:hAnsiTheme="minorHAnsi" w:cstheme="minorHAnsi"/>
          <w:i/>
          <w:lang w:val="en-GB"/>
        </w:rPr>
      </w:pPr>
      <w:r w:rsidRPr="007D4B7B">
        <w:rPr>
          <w:i/>
          <w:lang w:val="en-GB"/>
        </w:rPr>
        <w:t xml:space="preserve">Please fill </w:t>
      </w:r>
      <w:proofErr w:type="gramStart"/>
      <w:r w:rsidRPr="007D4B7B">
        <w:rPr>
          <w:i/>
          <w:lang w:val="en-GB"/>
        </w:rPr>
        <w:t>in and attach</w:t>
      </w:r>
      <w:r w:rsidRPr="007D4B7B">
        <w:rPr>
          <w:rFonts w:asciiTheme="minorHAnsi" w:hAnsiTheme="minorHAnsi" w:cstheme="minorHAnsi"/>
          <w:i/>
          <w:lang w:val="en-GB"/>
        </w:rPr>
        <w:t xml:space="preserve"> the Excel file entitled "</w:t>
      </w:r>
      <w:r w:rsidR="00276B5E">
        <w:rPr>
          <w:rFonts w:asciiTheme="minorHAnsi" w:hAnsiTheme="minorHAnsi" w:cstheme="minorHAnsi"/>
          <w:i/>
          <w:lang w:val="en-GB"/>
        </w:rPr>
        <w:t xml:space="preserve">Template </w:t>
      </w:r>
      <w:proofErr w:type="spellStart"/>
      <w:r w:rsidR="00276B5E">
        <w:rPr>
          <w:rFonts w:asciiTheme="minorHAnsi" w:hAnsiTheme="minorHAnsi" w:cstheme="minorHAnsi"/>
          <w:i/>
          <w:lang w:val="en-GB"/>
        </w:rPr>
        <w:t>EN_</w:t>
      </w:r>
      <w:r w:rsidRPr="007D4B7B">
        <w:rPr>
          <w:rFonts w:asciiTheme="minorHAnsi" w:hAnsiTheme="minorHAnsi" w:cstheme="minorHAnsi"/>
          <w:i/>
          <w:lang w:val="en-GB"/>
        </w:rPr>
        <w:t>Financial</w:t>
      </w:r>
      <w:proofErr w:type="spellEnd"/>
      <w:r w:rsidRPr="007D4B7B">
        <w:rPr>
          <w:rFonts w:asciiTheme="minorHAnsi" w:hAnsiTheme="minorHAnsi" w:cstheme="minorHAnsi"/>
          <w:i/>
          <w:lang w:val="en-GB"/>
        </w:rPr>
        <w:t xml:space="preserve"> Summary</w:t>
      </w:r>
      <w:r w:rsidR="00276B5E">
        <w:rPr>
          <w:rFonts w:asciiTheme="minorHAnsi" w:hAnsiTheme="minorHAnsi" w:cstheme="minorHAnsi"/>
          <w:i/>
          <w:lang w:val="en-GB"/>
        </w:rPr>
        <w:t>_ENV</w:t>
      </w:r>
      <w:r w:rsidRPr="007D4B7B">
        <w:rPr>
          <w:rFonts w:asciiTheme="minorHAnsi" w:hAnsiTheme="minorHAnsi" w:cstheme="minorHAnsi"/>
          <w:i/>
          <w:lang w:val="en-GB"/>
        </w:rPr>
        <w:t>.xlsx"</w:t>
      </w:r>
      <w:proofErr w:type="gramEnd"/>
      <w:r w:rsidR="005A7D3C">
        <w:rPr>
          <w:rFonts w:asciiTheme="minorHAnsi" w:hAnsiTheme="minorHAnsi" w:cstheme="minorHAnsi"/>
          <w:i/>
          <w:lang w:val="en-GB"/>
        </w:rPr>
        <w:t xml:space="preserve"> and include the detailed calc</w:t>
      </w:r>
      <w:r w:rsidR="00515DE2">
        <w:rPr>
          <w:rFonts w:asciiTheme="minorHAnsi" w:hAnsiTheme="minorHAnsi" w:cstheme="minorHAnsi"/>
          <w:i/>
          <w:lang w:val="en-GB"/>
        </w:rPr>
        <w:t>ulation of the return on invest</w:t>
      </w:r>
      <w:r w:rsidR="005A7D3C">
        <w:rPr>
          <w:rFonts w:asciiTheme="minorHAnsi" w:hAnsiTheme="minorHAnsi" w:cstheme="minorHAnsi"/>
          <w:i/>
          <w:lang w:val="en-GB"/>
        </w:rPr>
        <w:t>ment.</w:t>
      </w:r>
    </w:p>
    <w:p w14:paraId="3AAE0785" w14:textId="7E33952A" w:rsidR="005A7D3C" w:rsidRPr="007D4B7B" w:rsidRDefault="005A7D3C" w:rsidP="003C3132">
      <w:pPr>
        <w:rPr>
          <w:i/>
          <w:lang w:val="en-GB"/>
        </w:rPr>
      </w:pPr>
      <w:r w:rsidRPr="005A7D3C">
        <w:rPr>
          <w:i/>
          <w:lang w:val="en-GB"/>
        </w:rPr>
        <w:t xml:space="preserve">For renewable energy generation projects benefiting from an electricity injection tariff or a heat premium provided by the amended Grand-Ducal regulation of 1 August 2014 relating to the production of electricity based on sources </w:t>
      </w:r>
      <w:r>
        <w:rPr>
          <w:i/>
          <w:lang w:val="en-GB"/>
        </w:rPr>
        <w:t xml:space="preserve">of </w:t>
      </w:r>
      <w:r w:rsidRPr="005A7D3C">
        <w:rPr>
          <w:i/>
          <w:lang w:val="en-GB"/>
        </w:rPr>
        <w:t>renewable energy, please include or attach a detailed 15-year business plan in editable Excel format.</w:t>
      </w:r>
      <w:bookmarkStart w:id="0" w:name="_GoBack"/>
      <w:bookmarkEnd w:id="0"/>
    </w:p>
    <w:p w14:paraId="54EAA1AE" w14:textId="77777777" w:rsidR="003C3132" w:rsidRPr="007D4B7B" w:rsidRDefault="003C3132" w:rsidP="00E557A8">
      <w:pPr>
        <w:jc w:val="both"/>
        <w:rPr>
          <w:rFonts w:cs="Arial"/>
          <w:b/>
          <w:bCs/>
          <w:sz w:val="24"/>
          <w:szCs w:val="24"/>
          <w:u w:val="single"/>
          <w:lang w:val="en-GB"/>
        </w:rPr>
      </w:pPr>
    </w:p>
    <w:sectPr w:rsidR="003C3132" w:rsidRPr="007D4B7B" w:rsidSect="00784F6E">
      <w:headerReference w:type="default" r:id="rId13"/>
      <w:footerReference w:type="even" r:id="rId14"/>
      <w:footerReference w:type="default" r:id="rId15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1D250" w14:textId="77777777" w:rsidR="00811534" w:rsidRDefault="00811534">
      <w:r>
        <w:separator/>
      </w:r>
    </w:p>
  </w:endnote>
  <w:endnote w:type="continuationSeparator" w:id="0">
    <w:p w14:paraId="6993C3F3" w14:textId="77777777" w:rsidR="00811534" w:rsidRDefault="0081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26299365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B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60B3C" w14:textId="77777777" w:rsidR="00811534" w:rsidRDefault="00811534">
      <w:r>
        <w:separator/>
      </w:r>
    </w:p>
  </w:footnote>
  <w:footnote w:type="continuationSeparator" w:id="0">
    <w:p w14:paraId="242F7418" w14:textId="77777777" w:rsidR="00811534" w:rsidRDefault="00811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A1759A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en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399B6E8F" w:rsidR="009B5C80" w:rsidRPr="009B5C80" w:rsidRDefault="009A52CB" w:rsidP="00E82C3B">
          <w:pPr>
            <w:spacing w:after="0"/>
            <w:jc w:val="center"/>
            <w:rPr>
              <w:rFonts w:ascii="Arial" w:hAnsi="Arial" w:cs="Arial"/>
              <w:b/>
              <w:caps/>
              <w:szCs w:val="32"/>
            </w:rPr>
          </w:pPr>
          <w:r>
            <w:rPr>
              <w:rFonts w:ascii="Arial" w:hAnsi="Arial" w:cs="Arial"/>
              <w:b/>
              <w:caps/>
              <w:szCs w:val="32"/>
            </w:rPr>
            <w:t xml:space="preserve">Investment Project in </w:t>
          </w:r>
          <w:r w:rsidR="00E82C3B">
            <w:rPr>
              <w:rFonts w:ascii="Arial" w:hAnsi="Arial" w:cs="Arial"/>
              <w:b/>
              <w:caps/>
              <w:szCs w:val="32"/>
            </w:rPr>
            <w:t>Environmental protection</w:t>
          </w:r>
          <w:r w:rsidR="009B5C80">
            <w:rPr>
              <w:rFonts w:ascii="Arial" w:hAnsi="Arial" w:cs="Arial"/>
              <w:b/>
              <w:caps/>
              <w:szCs w:val="32"/>
            </w:rPr>
            <w:t xml:space="preserve"> (ENV)</w:t>
          </w:r>
        </w:p>
      </w:tc>
    </w:tr>
  </w:tbl>
  <w:p w14:paraId="7C0A0FCC" w14:textId="77777777" w:rsidR="00585E11" w:rsidRPr="007D4B7B" w:rsidRDefault="00585E11" w:rsidP="00360119">
    <w:pPr>
      <w:pStyle w:val="Header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3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574" w:hanging="432"/>
      </w:pPr>
    </w:lvl>
    <w:lvl w:ilvl="1">
      <w:start w:val="1"/>
      <w:numFmt w:val="decimal"/>
      <w:pStyle w:val="Heading2"/>
      <w:lvlText w:val="%1.%2"/>
      <w:lvlJc w:val="left"/>
      <w:pPr>
        <w:ind w:left="7948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</w:lvl>
    <w:lvl w:ilvl="4">
      <w:start w:val="1"/>
      <w:numFmt w:val="decimal"/>
      <w:pStyle w:val="Heading5"/>
      <w:lvlText w:val="%1.%2.%3.%4.%5"/>
      <w:lvlJc w:val="left"/>
      <w:pPr>
        <w:ind w:left="1150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294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726" w:hanging="1584"/>
      </w:pPr>
    </w:lvl>
  </w:abstractNum>
  <w:abstractNum w:abstractNumId="4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48F809DE"/>
    <w:multiLevelType w:val="hybridMultilevel"/>
    <w:tmpl w:val="A05A1762"/>
    <w:lvl w:ilvl="0" w:tplc="E16C6B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E2251"/>
    <w:multiLevelType w:val="hybridMultilevel"/>
    <w:tmpl w:val="7062B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7"/>
  </w:num>
  <w:num w:numId="32">
    <w:abstractNumId w:val="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1F80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42FE8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0AAC"/>
    <w:rsid w:val="000A4562"/>
    <w:rsid w:val="000B3218"/>
    <w:rsid w:val="000B55BB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2642"/>
    <w:rsid w:val="000E2CE0"/>
    <w:rsid w:val="000E3255"/>
    <w:rsid w:val="000E3E40"/>
    <w:rsid w:val="000E4870"/>
    <w:rsid w:val="000F0437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36FA4"/>
    <w:rsid w:val="0014097D"/>
    <w:rsid w:val="001550A7"/>
    <w:rsid w:val="00160330"/>
    <w:rsid w:val="001619C2"/>
    <w:rsid w:val="00162CC2"/>
    <w:rsid w:val="00171205"/>
    <w:rsid w:val="001735EF"/>
    <w:rsid w:val="0017470C"/>
    <w:rsid w:val="00181ACB"/>
    <w:rsid w:val="001822C3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E2C"/>
    <w:rsid w:val="002532A9"/>
    <w:rsid w:val="00256F07"/>
    <w:rsid w:val="00262075"/>
    <w:rsid w:val="002646F5"/>
    <w:rsid w:val="00266FC9"/>
    <w:rsid w:val="00270039"/>
    <w:rsid w:val="00270C84"/>
    <w:rsid w:val="0027229E"/>
    <w:rsid w:val="00272D3D"/>
    <w:rsid w:val="0027402F"/>
    <w:rsid w:val="0027469A"/>
    <w:rsid w:val="00276B5E"/>
    <w:rsid w:val="00277938"/>
    <w:rsid w:val="00280204"/>
    <w:rsid w:val="00282D44"/>
    <w:rsid w:val="00284864"/>
    <w:rsid w:val="0028531B"/>
    <w:rsid w:val="00285568"/>
    <w:rsid w:val="002862DD"/>
    <w:rsid w:val="00294875"/>
    <w:rsid w:val="00296476"/>
    <w:rsid w:val="00296792"/>
    <w:rsid w:val="002A2DCD"/>
    <w:rsid w:val="002A4CCE"/>
    <w:rsid w:val="002B5801"/>
    <w:rsid w:val="002B741A"/>
    <w:rsid w:val="002B7643"/>
    <w:rsid w:val="002C096F"/>
    <w:rsid w:val="002C2B20"/>
    <w:rsid w:val="002C2BBD"/>
    <w:rsid w:val="002C6AC1"/>
    <w:rsid w:val="002C773D"/>
    <w:rsid w:val="002D015C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54499"/>
    <w:rsid w:val="00360119"/>
    <w:rsid w:val="00361DAC"/>
    <w:rsid w:val="003674A6"/>
    <w:rsid w:val="0037430E"/>
    <w:rsid w:val="00375114"/>
    <w:rsid w:val="003761E3"/>
    <w:rsid w:val="003765C3"/>
    <w:rsid w:val="003768A9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C0BA9"/>
    <w:rsid w:val="003C3132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2995"/>
    <w:rsid w:val="00405CBD"/>
    <w:rsid w:val="00410AAA"/>
    <w:rsid w:val="00411E87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55EB"/>
    <w:rsid w:val="0047083D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C6C4A"/>
    <w:rsid w:val="004D0940"/>
    <w:rsid w:val="004D2C1F"/>
    <w:rsid w:val="004D2FFB"/>
    <w:rsid w:val="004D6682"/>
    <w:rsid w:val="004D78AF"/>
    <w:rsid w:val="004E1C08"/>
    <w:rsid w:val="004E27B5"/>
    <w:rsid w:val="004E4B18"/>
    <w:rsid w:val="004F00E3"/>
    <w:rsid w:val="004F46AE"/>
    <w:rsid w:val="004F5A1C"/>
    <w:rsid w:val="00500776"/>
    <w:rsid w:val="0050241C"/>
    <w:rsid w:val="00504D87"/>
    <w:rsid w:val="00504F99"/>
    <w:rsid w:val="0051092A"/>
    <w:rsid w:val="00514AA7"/>
    <w:rsid w:val="00515DE2"/>
    <w:rsid w:val="00517DBD"/>
    <w:rsid w:val="005211E2"/>
    <w:rsid w:val="0053384E"/>
    <w:rsid w:val="00533DCC"/>
    <w:rsid w:val="00533E20"/>
    <w:rsid w:val="00536CAB"/>
    <w:rsid w:val="005455A6"/>
    <w:rsid w:val="005518FE"/>
    <w:rsid w:val="0055258C"/>
    <w:rsid w:val="005531B1"/>
    <w:rsid w:val="00566B96"/>
    <w:rsid w:val="005674ED"/>
    <w:rsid w:val="00570575"/>
    <w:rsid w:val="00575861"/>
    <w:rsid w:val="0058387D"/>
    <w:rsid w:val="00585057"/>
    <w:rsid w:val="00585E11"/>
    <w:rsid w:val="005862E4"/>
    <w:rsid w:val="005877CA"/>
    <w:rsid w:val="00595F1A"/>
    <w:rsid w:val="005A1F3E"/>
    <w:rsid w:val="005A7D3C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1025"/>
    <w:rsid w:val="006062E2"/>
    <w:rsid w:val="00612F14"/>
    <w:rsid w:val="0061570D"/>
    <w:rsid w:val="00616988"/>
    <w:rsid w:val="006206AD"/>
    <w:rsid w:val="00624C38"/>
    <w:rsid w:val="0062691F"/>
    <w:rsid w:val="00626EDD"/>
    <w:rsid w:val="00627FE3"/>
    <w:rsid w:val="00630456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5BE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35669"/>
    <w:rsid w:val="00740682"/>
    <w:rsid w:val="0074179E"/>
    <w:rsid w:val="007440A3"/>
    <w:rsid w:val="00746421"/>
    <w:rsid w:val="00746466"/>
    <w:rsid w:val="007513D8"/>
    <w:rsid w:val="00751EA4"/>
    <w:rsid w:val="007564E9"/>
    <w:rsid w:val="00760C13"/>
    <w:rsid w:val="007639D0"/>
    <w:rsid w:val="00765400"/>
    <w:rsid w:val="00766A8F"/>
    <w:rsid w:val="00767C90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B1849"/>
    <w:rsid w:val="007B5279"/>
    <w:rsid w:val="007C2939"/>
    <w:rsid w:val="007C2DAF"/>
    <w:rsid w:val="007C3DDC"/>
    <w:rsid w:val="007D08ED"/>
    <w:rsid w:val="007D1B2A"/>
    <w:rsid w:val="007D4B7B"/>
    <w:rsid w:val="007D5248"/>
    <w:rsid w:val="007D5CA7"/>
    <w:rsid w:val="007D6B6A"/>
    <w:rsid w:val="007E0E16"/>
    <w:rsid w:val="007E1AC6"/>
    <w:rsid w:val="007E4225"/>
    <w:rsid w:val="007F3465"/>
    <w:rsid w:val="007F7CD9"/>
    <w:rsid w:val="00801384"/>
    <w:rsid w:val="008015CB"/>
    <w:rsid w:val="00804B7C"/>
    <w:rsid w:val="00806B60"/>
    <w:rsid w:val="00811534"/>
    <w:rsid w:val="00814E70"/>
    <w:rsid w:val="0081615D"/>
    <w:rsid w:val="00821B27"/>
    <w:rsid w:val="008245D8"/>
    <w:rsid w:val="00826820"/>
    <w:rsid w:val="00826A33"/>
    <w:rsid w:val="008301EA"/>
    <w:rsid w:val="00835144"/>
    <w:rsid w:val="00836263"/>
    <w:rsid w:val="00836F31"/>
    <w:rsid w:val="008378D0"/>
    <w:rsid w:val="00841956"/>
    <w:rsid w:val="00850C44"/>
    <w:rsid w:val="00854282"/>
    <w:rsid w:val="00856C20"/>
    <w:rsid w:val="0086077A"/>
    <w:rsid w:val="00862388"/>
    <w:rsid w:val="008627A6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221"/>
    <w:rsid w:val="008907DC"/>
    <w:rsid w:val="00890A23"/>
    <w:rsid w:val="00893B30"/>
    <w:rsid w:val="00894AB0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1693E"/>
    <w:rsid w:val="0091762B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56C66"/>
    <w:rsid w:val="00961DC4"/>
    <w:rsid w:val="009633E3"/>
    <w:rsid w:val="00966163"/>
    <w:rsid w:val="009733ED"/>
    <w:rsid w:val="00976B85"/>
    <w:rsid w:val="0098353E"/>
    <w:rsid w:val="009835A4"/>
    <w:rsid w:val="009865F9"/>
    <w:rsid w:val="00987C6F"/>
    <w:rsid w:val="0099163B"/>
    <w:rsid w:val="00993D0F"/>
    <w:rsid w:val="00994BB7"/>
    <w:rsid w:val="00994CB1"/>
    <w:rsid w:val="0099705A"/>
    <w:rsid w:val="009A0F70"/>
    <w:rsid w:val="009A3C59"/>
    <w:rsid w:val="009A52CB"/>
    <w:rsid w:val="009A70BB"/>
    <w:rsid w:val="009B010F"/>
    <w:rsid w:val="009B0712"/>
    <w:rsid w:val="009B1B20"/>
    <w:rsid w:val="009B2849"/>
    <w:rsid w:val="009B3B1B"/>
    <w:rsid w:val="009B4EE9"/>
    <w:rsid w:val="009B5C80"/>
    <w:rsid w:val="009B5CB5"/>
    <w:rsid w:val="009B5F48"/>
    <w:rsid w:val="009C1429"/>
    <w:rsid w:val="009C14A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9F7545"/>
    <w:rsid w:val="00A00835"/>
    <w:rsid w:val="00A017D8"/>
    <w:rsid w:val="00A02FEB"/>
    <w:rsid w:val="00A0732D"/>
    <w:rsid w:val="00A07B49"/>
    <w:rsid w:val="00A07EBA"/>
    <w:rsid w:val="00A10429"/>
    <w:rsid w:val="00A12097"/>
    <w:rsid w:val="00A1293C"/>
    <w:rsid w:val="00A1698C"/>
    <w:rsid w:val="00A16E17"/>
    <w:rsid w:val="00A1759A"/>
    <w:rsid w:val="00A261F2"/>
    <w:rsid w:val="00A341E5"/>
    <w:rsid w:val="00A357A6"/>
    <w:rsid w:val="00A3722D"/>
    <w:rsid w:val="00A41450"/>
    <w:rsid w:val="00A419F9"/>
    <w:rsid w:val="00A428EC"/>
    <w:rsid w:val="00A42A50"/>
    <w:rsid w:val="00A44704"/>
    <w:rsid w:val="00A45035"/>
    <w:rsid w:val="00A451BF"/>
    <w:rsid w:val="00A45516"/>
    <w:rsid w:val="00A50ECF"/>
    <w:rsid w:val="00A533E4"/>
    <w:rsid w:val="00A54232"/>
    <w:rsid w:val="00A54624"/>
    <w:rsid w:val="00A5574C"/>
    <w:rsid w:val="00A60A6E"/>
    <w:rsid w:val="00A7414D"/>
    <w:rsid w:val="00A74C8A"/>
    <w:rsid w:val="00A80594"/>
    <w:rsid w:val="00A80D1B"/>
    <w:rsid w:val="00A80DC8"/>
    <w:rsid w:val="00A81B29"/>
    <w:rsid w:val="00A81D7A"/>
    <w:rsid w:val="00A8791A"/>
    <w:rsid w:val="00A907ED"/>
    <w:rsid w:val="00A97DBB"/>
    <w:rsid w:val="00AA0335"/>
    <w:rsid w:val="00AA1535"/>
    <w:rsid w:val="00AA1CAC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43C1"/>
    <w:rsid w:val="00AD5090"/>
    <w:rsid w:val="00AE1FCB"/>
    <w:rsid w:val="00AE54BA"/>
    <w:rsid w:val="00AE668F"/>
    <w:rsid w:val="00AF3AB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CCC"/>
    <w:rsid w:val="00B33D58"/>
    <w:rsid w:val="00B33DD6"/>
    <w:rsid w:val="00B34A2B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7446"/>
    <w:rsid w:val="00C0030F"/>
    <w:rsid w:val="00C00F74"/>
    <w:rsid w:val="00C0140F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576A6"/>
    <w:rsid w:val="00C62134"/>
    <w:rsid w:val="00C70104"/>
    <w:rsid w:val="00C75188"/>
    <w:rsid w:val="00C76C04"/>
    <w:rsid w:val="00C815D5"/>
    <w:rsid w:val="00C87410"/>
    <w:rsid w:val="00C9559A"/>
    <w:rsid w:val="00CA1AA9"/>
    <w:rsid w:val="00CA2599"/>
    <w:rsid w:val="00CB1C54"/>
    <w:rsid w:val="00CB41D3"/>
    <w:rsid w:val="00CB558F"/>
    <w:rsid w:val="00CB5B6C"/>
    <w:rsid w:val="00CC03C4"/>
    <w:rsid w:val="00CC4AC3"/>
    <w:rsid w:val="00CC4F0D"/>
    <w:rsid w:val="00CD48B4"/>
    <w:rsid w:val="00CD7301"/>
    <w:rsid w:val="00CE79D2"/>
    <w:rsid w:val="00CF49BE"/>
    <w:rsid w:val="00CF5444"/>
    <w:rsid w:val="00CF54D4"/>
    <w:rsid w:val="00CF60AE"/>
    <w:rsid w:val="00D02555"/>
    <w:rsid w:val="00D030F5"/>
    <w:rsid w:val="00D04859"/>
    <w:rsid w:val="00D05F63"/>
    <w:rsid w:val="00D171E9"/>
    <w:rsid w:val="00D319D5"/>
    <w:rsid w:val="00D31C52"/>
    <w:rsid w:val="00D32176"/>
    <w:rsid w:val="00D321BB"/>
    <w:rsid w:val="00D32229"/>
    <w:rsid w:val="00D32BBD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5678A"/>
    <w:rsid w:val="00D60AD9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6075"/>
    <w:rsid w:val="00DC750E"/>
    <w:rsid w:val="00DD3083"/>
    <w:rsid w:val="00DD30A4"/>
    <w:rsid w:val="00DD7D19"/>
    <w:rsid w:val="00DD7DBA"/>
    <w:rsid w:val="00DE016C"/>
    <w:rsid w:val="00DE1D3E"/>
    <w:rsid w:val="00DE451F"/>
    <w:rsid w:val="00DE700C"/>
    <w:rsid w:val="00DE7EC7"/>
    <w:rsid w:val="00DF2240"/>
    <w:rsid w:val="00DF4F18"/>
    <w:rsid w:val="00DF6600"/>
    <w:rsid w:val="00DF67ED"/>
    <w:rsid w:val="00DF7A36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611E"/>
    <w:rsid w:val="00E366FD"/>
    <w:rsid w:val="00E442D7"/>
    <w:rsid w:val="00E44B15"/>
    <w:rsid w:val="00E467BA"/>
    <w:rsid w:val="00E506AC"/>
    <w:rsid w:val="00E51333"/>
    <w:rsid w:val="00E5575E"/>
    <w:rsid w:val="00E557A8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2C3B"/>
    <w:rsid w:val="00E837C8"/>
    <w:rsid w:val="00E8677D"/>
    <w:rsid w:val="00E91F9A"/>
    <w:rsid w:val="00EA0060"/>
    <w:rsid w:val="00EB156C"/>
    <w:rsid w:val="00EB2FE9"/>
    <w:rsid w:val="00EB3DEE"/>
    <w:rsid w:val="00EC54ED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4216"/>
    <w:rsid w:val="00F062A7"/>
    <w:rsid w:val="00F07F4D"/>
    <w:rsid w:val="00F11974"/>
    <w:rsid w:val="00F128D2"/>
    <w:rsid w:val="00F1311D"/>
    <w:rsid w:val="00F14EEF"/>
    <w:rsid w:val="00F22841"/>
    <w:rsid w:val="00F25E6B"/>
    <w:rsid w:val="00F27552"/>
    <w:rsid w:val="00F33052"/>
    <w:rsid w:val="00F33571"/>
    <w:rsid w:val="00F37A60"/>
    <w:rsid w:val="00F37F47"/>
    <w:rsid w:val="00F4617F"/>
    <w:rsid w:val="00F479E3"/>
    <w:rsid w:val="00F51611"/>
    <w:rsid w:val="00F544A2"/>
    <w:rsid w:val="00F5528E"/>
    <w:rsid w:val="00F56DE3"/>
    <w:rsid w:val="00F6165C"/>
    <w:rsid w:val="00F61E22"/>
    <w:rsid w:val="00F71635"/>
    <w:rsid w:val="00F716E6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10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paragraph" w:customStyle="1" w:styleId="Default">
    <w:name w:val="Default"/>
    <w:rsid w:val="00EC54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6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03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39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5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94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7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38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21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8820530">
                              <w:marLeft w:val="0"/>
                              <w:marRight w:val="0"/>
                              <w:marTop w:val="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763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59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47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577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956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323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0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878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81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guichet.public.lu/dam-assets/catalogue-pdf/guide-requerant-regime-aides-protection-environnement/guide-requerant-aides-protection-environnement-fr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2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2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3A7B41-7788-4F6A-82B6-11A34ED0A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843</Words>
  <Characters>5140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20</cp:revision>
  <cp:lastPrinted>2019-07-09T14:03:00Z</cp:lastPrinted>
  <dcterms:created xsi:type="dcterms:W3CDTF">2020-08-20T08:59:00Z</dcterms:created>
  <dcterms:modified xsi:type="dcterms:W3CDTF">2021-09-29T12:51:00Z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