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99" w:rsidRPr="00E04C4A" w:rsidRDefault="00D01099" w:rsidP="00D01099">
      <w:pPr>
        <w:rPr>
          <w:rFonts w:asciiTheme="majorHAnsi" w:hAnsiTheme="majorHAnsi" w:cstheme="majorHAnsi"/>
          <w:lang w:val="fr-FR"/>
        </w:rPr>
      </w:pPr>
    </w:p>
    <w:p w:rsidR="004E522A" w:rsidRPr="00E04C4A" w:rsidRDefault="004E522A" w:rsidP="00D01099">
      <w:pPr>
        <w:rPr>
          <w:rFonts w:asciiTheme="majorHAnsi" w:hAnsiTheme="majorHAnsi" w:cstheme="majorHAnsi"/>
          <w:lang w:val="fr-FR"/>
        </w:rPr>
      </w:pPr>
    </w:p>
    <w:p w:rsidR="00D01099" w:rsidRPr="00E04C4A" w:rsidRDefault="00275CB6" w:rsidP="00D01099">
      <w:pPr>
        <w:jc w:val="center"/>
        <w:rPr>
          <w:rFonts w:asciiTheme="majorHAnsi" w:hAnsiTheme="majorHAnsi" w:cstheme="majorHAnsi"/>
          <w:b/>
          <w:lang w:val="fr-FR"/>
        </w:rPr>
      </w:pPr>
      <w:r w:rsidRPr="00E04C4A">
        <w:rPr>
          <w:rFonts w:asciiTheme="majorHAnsi" w:hAnsiTheme="majorHAnsi" w:cstheme="majorHAnsi"/>
          <w:b/>
          <w:lang w:val="fr-FR"/>
        </w:rPr>
        <w:t>F</w:t>
      </w:r>
      <w:r w:rsidR="00D01099" w:rsidRPr="00E04C4A">
        <w:rPr>
          <w:rFonts w:asciiTheme="majorHAnsi" w:hAnsiTheme="majorHAnsi" w:cstheme="majorHAnsi"/>
          <w:b/>
          <w:lang w:val="fr-FR"/>
        </w:rPr>
        <w:t xml:space="preserve">iche de classification – </w:t>
      </w:r>
      <w:r w:rsidR="00D01099" w:rsidRPr="00E04C4A">
        <w:rPr>
          <w:rFonts w:asciiTheme="majorHAnsi" w:hAnsiTheme="majorHAnsi" w:cstheme="majorHAnsi"/>
          <w:b/>
          <w:u w:val="single"/>
          <w:lang w:val="fr-FR"/>
        </w:rPr>
        <w:t xml:space="preserve">une nouvelle </w:t>
      </w:r>
      <w:r w:rsidR="00D01099" w:rsidRPr="00E04C4A">
        <w:rPr>
          <w:rFonts w:asciiTheme="majorHAnsi" w:hAnsiTheme="majorHAnsi" w:cstheme="majorHAnsi"/>
          <w:b/>
          <w:u w:val="single"/>
          <w:lang w:val="fr-FR"/>
        </w:rPr>
        <w:t>mise à jour est en cours</w:t>
      </w:r>
    </w:p>
    <w:p w:rsidR="00D01099" w:rsidRPr="00E04C4A" w:rsidRDefault="00D01099" w:rsidP="00D01099">
      <w:pPr>
        <w:jc w:val="center"/>
        <w:rPr>
          <w:rFonts w:asciiTheme="majorHAnsi" w:hAnsiTheme="majorHAnsi" w:cstheme="majorHAnsi"/>
          <w:b/>
          <w:lang w:val="fr-FR"/>
        </w:rPr>
      </w:pPr>
    </w:p>
    <w:p w:rsidR="00D01099" w:rsidRPr="00E04C4A" w:rsidRDefault="00D01099" w:rsidP="00D01099">
      <w:pPr>
        <w:rPr>
          <w:rFonts w:asciiTheme="majorHAnsi" w:hAnsiTheme="majorHAnsi" w:cstheme="majorHAnsi"/>
          <w:lang w:val="fr-FR"/>
        </w:rPr>
      </w:pPr>
    </w:p>
    <w:p w:rsidR="00D01099" w:rsidRPr="00E04C4A" w:rsidRDefault="00D01099" w:rsidP="00D01099">
      <w:pPr>
        <w:rPr>
          <w:rFonts w:asciiTheme="majorHAnsi" w:hAnsiTheme="majorHAnsi" w:cstheme="majorHAnsi"/>
          <w:lang w:val="fr-FR"/>
        </w:rPr>
      </w:pPr>
      <w:r w:rsidRPr="00E04C4A">
        <w:rPr>
          <w:rFonts w:asciiTheme="majorHAnsi" w:hAnsiTheme="majorHAnsi" w:cstheme="majorHAnsi"/>
          <w:lang w:val="fr-FR"/>
        </w:rPr>
        <w:t>En attendant pour la classification de votre bien (produit ou/et technologie) veuillez consulter :</w:t>
      </w:r>
    </w:p>
    <w:p w:rsidR="00D01099" w:rsidRPr="00E04C4A" w:rsidRDefault="00D01099" w:rsidP="00D01099">
      <w:pPr>
        <w:rPr>
          <w:rFonts w:asciiTheme="majorHAnsi" w:hAnsiTheme="majorHAnsi" w:cstheme="majorHAnsi"/>
          <w:lang w:val="fr-FR"/>
        </w:rPr>
      </w:pPr>
    </w:p>
    <w:p w:rsidR="004E522A" w:rsidRPr="00E04C4A" w:rsidRDefault="004E522A" w:rsidP="00D01099">
      <w:pPr>
        <w:rPr>
          <w:rFonts w:asciiTheme="majorHAnsi" w:hAnsiTheme="majorHAnsi" w:cstheme="majorHAnsi"/>
          <w:lang w:val="fr-FR"/>
        </w:rPr>
      </w:pPr>
    </w:p>
    <w:p w:rsidR="00D01099" w:rsidRPr="00E04C4A" w:rsidRDefault="00D01099" w:rsidP="00D01099">
      <w:pPr>
        <w:rPr>
          <w:rFonts w:asciiTheme="majorHAnsi" w:hAnsiTheme="majorHAnsi" w:cstheme="majorHAnsi"/>
          <w:b/>
          <w:lang w:val="fr-FR"/>
        </w:rPr>
      </w:pPr>
      <w:r w:rsidRPr="00E04C4A">
        <w:rPr>
          <w:rFonts w:asciiTheme="majorHAnsi" w:hAnsiTheme="majorHAnsi" w:cstheme="majorHAnsi"/>
          <w:b/>
          <w:lang w:val="fr-FR"/>
        </w:rPr>
        <w:t>Pour les biens à double usage :</w:t>
      </w:r>
    </w:p>
    <w:p w:rsidR="00D01099" w:rsidRPr="00E04C4A" w:rsidRDefault="00D01099" w:rsidP="00D01099">
      <w:pPr>
        <w:rPr>
          <w:rFonts w:asciiTheme="majorHAnsi" w:hAnsiTheme="majorHAnsi" w:cstheme="majorHAnsi"/>
          <w:lang w:val="fr-FR"/>
        </w:rPr>
      </w:pPr>
    </w:p>
    <w:p w:rsidR="00D01099" w:rsidRPr="00F84544" w:rsidRDefault="004E522A" w:rsidP="00F84544">
      <w:pPr>
        <w:rPr>
          <w:rFonts w:asciiTheme="majorHAnsi" w:hAnsiTheme="majorHAnsi" w:cstheme="majorHAnsi"/>
          <w:lang w:val="fr-FR"/>
        </w:rPr>
      </w:pPr>
      <w:hyperlink r:id="rId5" w:history="1"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RÈGLEMENT DÉL</w:t>
        </w:r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É</w:t>
        </w:r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GUÉ (UE) 2023/66 DE LA COMMISSION du 21 octobre 2022 modifiant le règlement</w:t>
        </w:r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 xml:space="preserve"> </w:t>
        </w:r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(UE) 2021/821 du Parlement européen et du Conseil en ce qui concerne la liste des biens à double usage</w:t>
        </w:r>
      </w:hyperlink>
    </w:p>
    <w:p w:rsidR="00D01099" w:rsidRPr="00E04C4A" w:rsidRDefault="00D01099" w:rsidP="00D01099">
      <w:pPr>
        <w:rPr>
          <w:rFonts w:asciiTheme="majorHAnsi" w:hAnsiTheme="majorHAnsi" w:cstheme="majorHAnsi"/>
          <w:lang w:val="fr-FR"/>
        </w:rPr>
      </w:pPr>
    </w:p>
    <w:p w:rsidR="004E522A" w:rsidRPr="00E04C4A" w:rsidRDefault="004E522A" w:rsidP="00D01099">
      <w:pPr>
        <w:rPr>
          <w:rFonts w:asciiTheme="majorHAnsi" w:hAnsiTheme="majorHAnsi" w:cstheme="majorHAnsi"/>
          <w:lang w:val="fr-FR"/>
        </w:rPr>
      </w:pPr>
    </w:p>
    <w:p w:rsidR="00D01099" w:rsidRPr="00E04C4A" w:rsidRDefault="00D01099" w:rsidP="00D01099">
      <w:pPr>
        <w:rPr>
          <w:rFonts w:asciiTheme="majorHAnsi" w:hAnsiTheme="majorHAnsi" w:cstheme="majorHAnsi"/>
          <w:b/>
          <w:lang w:val="fr-FR"/>
        </w:rPr>
      </w:pPr>
      <w:r w:rsidRPr="00E04C4A">
        <w:rPr>
          <w:rFonts w:asciiTheme="majorHAnsi" w:hAnsiTheme="majorHAnsi" w:cstheme="majorHAnsi"/>
          <w:b/>
          <w:lang w:val="fr-FR"/>
        </w:rPr>
        <w:t>Pour les produits et les technologies liés à défense :</w:t>
      </w:r>
    </w:p>
    <w:p w:rsidR="00D01099" w:rsidRPr="00E04C4A" w:rsidRDefault="00D01099" w:rsidP="00D01099">
      <w:pPr>
        <w:rPr>
          <w:rFonts w:asciiTheme="majorHAnsi" w:hAnsiTheme="majorHAnsi" w:cstheme="majorHAnsi"/>
          <w:lang w:val="fr-FR"/>
        </w:rPr>
      </w:pPr>
    </w:p>
    <w:p w:rsidR="00D01099" w:rsidRPr="00F84544" w:rsidRDefault="004E522A" w:rsidP="00F84544">
      <w:pPr>
        <w:rPr>
          <w:rFonts w:asciiTheme="majorHAnsi" w:hAnsiTheme="majorHAnsi" w:cstheme="majorHAnsi"/>
          <w:lang w:val="fr-FR"/>
        </w:rPr>
      </w:pPr>
      <w:hyperlink r:id="rId6" w:history="1"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LISTE COMMUNE DES ÉQUIPEMENTS MILITAIRES DE L'UNION EUROPÉENNE adoptée par le Conseil le 20 février 2023 (éq</w:t>
        </w:r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u</w:t>
        </w:r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ipements couverts par la position commune 2008/944/PESC du Conseil définissant des règles communes régissant le contrôle des exportations de technologie et d'équipements militaires)</w:t>
        </w:r>
      </w:hyperlink>
    </w:p>
    <w:p w:rsidR="00D01099" w:rsidRPr="00E04C4A" w:rsidRDefault="00D01099" w:rsidP="00D01099">
      <w:pPr>
        <w:rPr>
          <w:rFonts w:asciiTheme="majorHAnsi" w:hAnsiTheme="majorHAnsi" w:cstheme="majorHAnsi"/>
          <w:lang w:val="fr-FR"/>
        </w:rPr>
      </w:pPr>
    </w:p>
    <w:p w:rsidR="004E522A" w:rsidRPr="00E04C4A" w:rsidRDefault="004E522A" w:rsidP="00D01099">
      <w:pPr>
        <w:rPr>
          <w:rFonts w:asciiTheme="majorHAnsi" w:hAnsiTheme="majorHAnsi" w:cstheme="majorHAnsi"/>
          <w:lang w:val="fr-FR"/>
        </w:rPr>
      </w:pPr>
    </w:p>
    <w:p w:rsidR="00D01099" w:rsidRPr="00E04C4A" w:rsidRDefault="00D01099" w:rsidP="00D01099">
      <w:pPr>
        <w:rPr>
          <w:rFonts w:asciiTheme="majorHAnsi" w:hAnsiTheme="majorHAnsi" w:cstheme="majorHAnsi"/>
          <w:b/>
          <w:lang w:val="fr-FR"/>
        </w:rPr>
      </w:pPr>
      <w:r w:rsidRPr="00E04C4A">
        <w:rPr>
          <w:rFonts w:asciiTheme="majorHAnsi" w:hAnsiTheme="majorHAnsi" w:cstheme="majorHAnsi"/>
          <w:b/>
          <w:lang w:val="fr-FR"/>
        </w:rPr>
        <w:t>Pour les biens susceptibles d'être utilisés en vue d'infliger la peine capitale, la torture ou d'autres peines ou traitements cruels, inhumains ou dégradants </w:t>
      </w:r>
    </w:p>
    <w:p w:rsidR="00D01099" w:rsidRPr="00E04C4A" w:rsidRDefault="00D01099" w:rsidP="00D01099">
      <w:pPr>
        <w:rPr>
          <w:rFonts w:asciiTheme="majorHAnsi" w:hAnsiTheme="majorHAnsi" w:cstheme="majorHAnsi"/>
          <w:lang w:val="fr-FR"/>
        </w:rPr>
      </w:pPr>
    </w:p>
    <w:p w:rsidR="00D01099" w:rsidRPr="00F84544" w:rsidRDefault="004E522A" w:rsidP="00F84544">
      <w:pPr>
        <w:rPr>
          <w:rFonts w:asciiTheme="majorHAnsi" w:hAnsiTheme="majorHAnsi" w:cstheme="majorHAnsi"/>
          <w:lang w:val="fr-FR"/>
        </w:rPr>
      </w:pPr>
      <w:hyperlink r:id="rId7" w:history="1"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Règlement (UE) 2019/125 du Parlement européen et du Conseil du 16 janvier 2019 concernant le commerce de</w:t>
        </w:r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 </w:t>
        </w:r>
        <w:r w:rsidR="00D01099" w:rsidRPr="00F84544">
          <w:rPr>
            <w:rStyle w:val="Hyperlink"/>
            <w:rFonts w:asciiTheme="majorHAnsi" w:hAnsiTheme="majorHAnsi" w:cstheme="majorHAnsi"/>
            <w:lang w:val="fr-FR"/>
          </w:rPr>
          <w:t>certains biens susceptibles d'être utilisés en vue d'infliger la peine capitale, la torture ou d'autres peines ou traitements cruels, inhumains ou dégradants </w:t>
        </w:r>
      </w:hyperlink>
    </w:p>
    <w:p w:rsidR="004A04BB" w:rsidRDefault="004A04BB">
      <w:pPr>
        <w:rPr>
          <w:lang w:val="fr-FR"/>
        </w:rPr>
      </w:pPr>
    </w:p>
    <w:p w:rsidR="00275CB6" w:rsidRDefault="00275CB6">
      <w:pPr>
        <w:rPr>
          <w:lang w:val="fr-FR"/>
        </w:rPr>
      </w:pPr>
    </w:p>
    <w:p w:rsidR="00275CB6" w:rsidRPr="00D01099" w:rsidRDefault="00275CB6">
      <w:pPr>
        <w:rPr>
          <w:lang w:val="fr-FR"/>
        </w:rPr>
      </w:pPr>
      <w:bookmarkStart w:id="0" w:name="_GoBack"/>
      <w:bookmarkEnd w:id="0"/>
    </w:p>
    <w:sectPr w:rsidR="00275CB6" w:rsidRPr="00D0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A42"/>
    <w:multiLevelType w:val="hybridMultilevel"/>
    <w:tmpl w:val="0A687EA2"/>
    <w:lvl w:ilvl="0" w:tplc="C4CE9300">
      <w:start w:val="28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99"/>
    <w:rsid w:val="00275CB6"/>
    <w:rsid w:val="003B50B8"/>
    <w:rsid w:val="004A04BB"/>
    <w:rsid w:val="004E522A"/>
    <w:rsid w:val="008152A6"/>
    <w:rsid w:val="00D01099"/>
    <w:rsid w:val="00E04C4A"/>
    <w:rsid w:val="00F84544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4A09"/>
  <w15:chartTrackingRefBased/>
  <w15:docId w15:val="{839BA4F1-20CB-4FCF-A5F3-33B37684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99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FR/TXT/?qid=1678360549004&amp;uri=CELEX%3A02019R0125-2021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FR/TXT/?uri=CELEX:52023XG0228(01)" TargetMode="External"/><Relationship Id="rId5" Type="http://schemas.openxmlformats.org/officeDocument/2006/relationships/hyperlink" Target="https://eur-lex.europa.eu/legal-content/FR/TXT/?uri=uriserv%3AOJ.L_.2023.009.01.0001.01.FRA&amp;toc=OJ%3AL%3A2023%3A009%3AT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Micic</dc:creator>
  <cp:keywords/>
  <dc:description/>
  <cp:lastModifiedBy>Ivana Micic</cp:lastModifiedBy>
  <cp:revision>5</cp:revision>
  <dcterms:created xsi:type="dcterms:W3CDTF">2023-03-09T10:34:00Z</dcterms:created>
  <dcterms:modified xsi:type="dcterms:W3CDTF">2023-03-09T13:07:00Z</dcterms:modified>
</cp:coreProperties>
</file>